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87" w:rsidRPr="005D0B8C" w:rsidRDefault="00D31E87" w:rsidP="00D31E87">
      <w:pPr>
        <w:spacing w:line="360" w:lineRule="auto"/>
        <w:jc w:val="both"/>
        <w:rPr>
          <w:rFonts w:ascii="Palatino Linotype" w:hAnsi="Palatino Linotype"/>
          <w:b/>
          <w:color w:val="000000" w:themeColor="text1"/>
          <w:sz w:val="24"/>
          <w:szCs w:val="24"/>
        </w:rPr>
      </w:pPr>
      <w:r w:rsidRPr="005D0B8C">
        <w:rPr>
          <w:rFonts w:ascii="Palatino Linotype" w:hAnsi="Palatino Linotype"/>
          <w:b/>
          <w:color w:val="000000" w:themeColor="text1"/>
          <w:sz w:val="24"/>
          <w:szCs w:val="24"/>
        </w:rPr>
        <w:t xml:space="preserve">OPINIÓN PARTICULAR </w:t>
      </w:r>
      <w:r w:rsidR="00904DB2" w:rsidRPr="005D0B8C">
        <w:rPr>
          <w:rFonts w:ascii="Palatino Linotype" w:hAnsi="Palatino Linotype"/>
          <w:b/>
          <w:color w:val="000000" w:themeColor="text1"/>
          <w:sz w:val="24"/>
          <w:szCs w:val="24"/>
        </w:rPr>
        <w:t xml:space="preserve">CONCURRENTE </w:t>
      </w:r>
      <w:r w:rsidRPr="005D0B8C">
        <w:rPr>
          <w:rFonts w:ascii="Palatino Linotype" w:hAnsi="Palatino Linotype"/>
          <w:b/>
          <w:color w:val="000000" w:themeColor="text1"/>
          <w:sz w:val="24"/>
          <w:szCs w:val="24"/>
        </w:rPr>
        <w:t>DE</w:t>
      </w:r>
      <w:r w:rsidR="00904DB2" w:rsidRPr="005D0B8C">
        <w:rPr>
          <w:rFonts w:ascii="Palatino Linotype" w:hAnsi="Palatino Linotype"/>
          <w:b/>
          <w:color w:val="000000" w:themeColor="text1"/>
          <w:sz w:val="24"/>
          <w:szCs w:val="24"/>
        </w:rPr>
        <w:t xml:space="preserve"> </w:t>
      </w:r>
      <w:r w:rsidRPr="005D0B8C">
        <w:rPr>
          <w:rFonts w:ascii="Palatino Linotype" w:hAnsi="Palatino Linotype"/>
          <w:b/>
          <w:color w:val="000000" w:themeColor="text1"/>
          <w:sz w:val="24"/>
          <w:szCs w:val="24"/>
        </w:rPr>
        <w:t>L</w:t>
      </w:r>
      <w:r w:rsidR="00904DB2" w:rsidRPr="005D0B8C">
        <w:rPr>
          <w:rFonts w:ascii="Palatino Linotype" w:hAnsi="Palatino Linotype"/>
          <w:b/>
          <w:color w:val="000000" w:themeColor="text1"/>
          <w:sz w:val="24"/>
          <w:szCs w:val="24"/>
        </w:rPr>
        <w:t>OS</w:t>
      </w:r>
      <w:r w:rsidRPr="005D0B8C">
        <w:rPr>
          <w:rFonts w:ascii="Palatino Linotype" w:hAnsi="Palatino Linotype"/>
          <w:b/>
          <w:color w:val="000000" w:themeColor="text1"/>
          <w:sz w:val="24"/>
          <w:szCs w:val="24"/>
        </w:rPr>
        <w:t xml:space="preserve"> COMISIONADO</w:t>
      </w:r>
      <w:r w:rsidR="00904DB2" w:rsidRPr="005D0B8C">
        <w:rPr>
          <w:rFonts w:ascii="Palatino Linotype" w:hAnsi="Palatino Linotype"/>
          <w:b/>
          <w:color w:val="000000" w:themeColor="text1"/>
          <w:sz w:val="24"/>
          <w:szCs w:val="24"/>
        </w:rPr>
        <w:t>S</w:t>
      </w:r>
      <w:r w:rsidRPr="005D0B8C">
        <w:rPr>
          <w:rFonts w:ascii="Palatino Linotype" w:hAnsi="Palatino Linotype"/>
          <w:b/>
          <w:color w:val="000000" w:themeColor="text1"/>
          <w:sz w:val="24"/>
          <w:szCs w:val="24"/>
        </w:rPr>
        <w:t xml:space="preserve"> JOSÉ GUADALUPE LUNA HERNÁNDEZ</w:t>
      </w:r>
      <w:r w:rsidR="004223F0" w:rsidRPr="005D0B8C">
        <w:rPr>
          <w:rFonts w:ascii="Palatino Linotype" w:hAnsi="Palatino Linotype"/>
          <w:b/>
          <w:color w:val="000000" w:themeColor="text1"/>
          <w:sz w:val="24"/>
          <w:szCs w:val="24"/>
        </w:rPr>
        <w:t xml:space="preserve"> Y LUIS GUSTAVO PARRA NORIEGA</w:t>
      </w:r>
      <w:r w:rsidRPr="005D0B8C">
        <w:rPr>
          <w:rFonts w:ascii="Palatino Linotype" w:hAnsi="Palatino Linotype"/>
          <w:b/>
          <w:color w:val="000000" w:themeColor="text1"/>
          <w:sz w:val="24"/>
          <w:szCs w:val="24"/>
        </w:rPr>
        <w:t xml:space="preserve"> EN EL RECURSO DE REVISIÓN </w:t>
      </w:r>
      <w:r w:rsidR="00417695" w:rsidRPr="005D0B8C">
        <w:rPr>
          <w:rFonts w:ascii="Palatino Linotype" w:hAnsi="Palatino Linotype"/>
          <w:b/>
          <w:color w:val="000000" w:themeColor="text1"/>
          <w:sz w:val="24"/>
          <w:szCs w:val="24"/>
        </w:rPr>
        <w:t>0</w:t>
      </w:r>
      <w:r w:rsidR="004223F0" w:rsidRPr="005D0B8C">
        <w:rPr>
          <w:rFonts w:ascii="Palatino Linotype" w:hAnsi="Palatino Linotype"/>
          <w:b/>
          <w:color w:val="000000" w:themeColor="text1"/>
          <w:sz w:val="24"/>
          <w:szCs w:val="24"/>
        </w:rPr>
        <w:t>2562</w:t>
      </w:r>
      <w:r w:rsidR="0058108A" w:rsidRPr="005D0B8C">
        <w:rPr>
          <w:rFonts w:ascii="Palatino Linotype" w:hAnsi="Palatino Linotype"/>
          <w:b/>
          <w:color w:val="000000" w:themeColor="text1"/>
          <w:sz w:val="24"/>
          <w:szCs w:val="24"/>
        </w:rPr>
        <w:t>/INFOEM/IP/RR/2018</w:t>
      </w:r>
      <w:r w:rsidRPr="005D0B8C">
        <w:rPr>
          <w:rFonts w:ascii="Palatino Linotype" w:hAnsi="Palatino Linotype"/>
          <w:b/>
          <w:color w:val="000000" w:themeColor="text1"/>
          <w:sz w:val="24"/>
          <w:szCs w:val="24"/>
        </w:rPr>
        <w:t>.</w:t>
      </w:r>
    </w:p>
    <w:p w:rsidR="005F5D83" w:rsidRPr="005D0B8C" w:rsidRDefault="00D31E87" w:rsidP="005D0B8C">
      <w:pPr>
        <w:spacing w:line="360" w:lineRule="auto"/>
        <w:jc w:val="both"/>
        <w:rPr>
          <w:rFonts w:ascii="Palatino Linotype" w:hAnsi="Palatino Linotype"/>
          <w:color w:val="000000" w:themeColor="text1"/>
          <w:sz w:val="24"/>
          <w:szCs w:val="24"/>
        </w:rPr>
      </w:pPr>
      <w:r w:rsidRPr="005D0B8C">
        <w:rPr>
          <w:rFonts w:ascii="Palatino Linotype" w:hAnsi="Palatino Linotype"/>
          <w:b/>
          <w:color w:val="000000" w:themeColor="text1"/>
          <w:sz w:val="24"/>
          <w:szCs w:val="24"/>
        </w:rPr>
        <w:t>Resumen de la opinión.</w:t>
      </w:r>
      <w:r w:rsidRPr="005D0B8C">
        <w:rPr>
          <w:rFonts w:ascii="Palatino Linotype" w:hAnsi="Palatino Linotype"/>
          <w:color w:val="000000" w:themeColor="text1"/>
          <w:sz w:val="24"/>
          <w:szCs w:val="24"/>
        </w:rPr>
        <w:t xml:space="preserve"> </w:t>
      </w:r>
      <w:r w:rsidR="005D0B8C" w:rsidRPr="005D0B8C">
        <w:rPr>
          <w:rFonts w:ascii="Palatino Linotype" w:hAnsi="Palatino Linotype"/>
          <w:color w:val="000000" w:themeColor="text1"/>
          <w:sz w:val="24"/>
          <w:szCs w:val="24"/>
        </w:rPr>
        <w:t xml:space="preserve">Para establecer una correcta ponderación de derechos, la </w:t>
      </w:r>
      <w:proofErr w:type="gramStart"/>
      <w:r w:rsidR="005D0B8C" w:rsidRPr="005D0B8C">
        <w:rPr>
          <w:rFonts w:ascii="Palatino Linotype" w:hAnsi="Palatino Linotype"/>
          <w:color w:val="000000" w:themeColor="text1"/>
          <w:sz w:val="24"/>
          <w:szCs w:val="24"/>
        </w:rPr>
        <w:t>doctrina</w:t>
      </w:r>
      <w:proofErr w:type="gramEnd"/>
      <w:r w:rsidR="005D0B8C" w:rsidRPr="005D0B8C">
        <w:rPr>
          <w:rFonts w:ascii="Palatino Linotype" w:hAnsi="Palatino Linotype"/>
          <w:color w:val="000000" w:themeColor="text1"/>
          <w:sz w:val="24"/>
          <w:szCs w:val="24"/>
        </w:rPr>
        <w:t xml:space="preserve"> y los intérpretes jurisdiccionales, recomiendan verificar el cumplimiento de tres juicios: el de necesidad, el de idoneidad y el de estricta proporcionalidad. La ausencia de cualquiera de los tres, invalida la invasión del derecho. </w:t>
      </w:r>
      <w:r w:rsidR="005D0B8C">
        <w:rPr>
          <w:rFonts w:ascii="Palatino Linotype" w:hAnsi="Palatino Linotype"/>
          <w:color w:val="000000" w:themeColor="text1"/>
          <w:sz w:val="24"/>
          <w:szCs w:val="24"/>
        </w:rPr>
        <w:t>L</w:t>
      </w:r>
      <w:r w:rsidR="005D0B8C" w:rsidRPr="005D0B8C">
        <w:rPr>
          <w:rFonts w:ascii="Palatino Linotype" w:hAnsi="Palatino Linotype"/>
          <w:color w:val="000000" w:themeColor="text1"/>
          <w:sz w:val="24"/>
          <w:szCs w:val="24"/>
        </w:rPr>
        <w:t>a limitación al derecho a la protección de datos personales tiene que ser acorde con el principio de proporcionalidad, para ello, se sugiere emplear los tres juicios propuestos por la Corte Constitucional Colombiana,  siguiendo el principio de ponderación propuesto por el Tribunal Constitucional Alemán,  el juicio de idoneidad deberá explicar que la medida permite obtener el fin (constitucionalmente legítimo de acuerdo con el principio de razón suficiente); el de necesidad, a través del cual se debe acreditar que no existan medios alternativos igualmente adecuados o idóneos para la obtención del fin, pero menos restrictivos de los principios afectados; y, por último, el de proporcionalidad en sentido estricto, esto es, que el fin que la efectividad del fin que se persigue se alcance en una medida mayor a la afectación de los principios que sufren restricción, y particularmente, del principio de igua</w:t>
      </w:r>
      <w:r w:rsidR="00B74471">
        <w:rPr>
          <w:rFonts w:ascii="Palatino Linotype" w:hAnsi="Palatino Linotype"/>
          <w:color w:val="000000" w:themeColor="text1"/>
          <w:sz w:val="24"/>
          <w:szCs w:val="24"/>
        </w:rPr>
        <w:t>ldad.</w:t>
      </w:r>
    </w:p>
    <w:p w:rsidR="00AC7C5A" w:rsidRPr="005D0B8C" w:rsidRDefault="00AC7C5A" w:rsidP="005F5D83">
      <w:pPr>
        <w:spacing w:line="360" w:lineRule="auto"/>
        <w:jc w:val="both"/>
        <w:rPr>
          <w:rFonts w:ascii="Palatino Linotype" w:hAnsi="Palatino Linotype"/>
          <w:color w:val="000000" w:themeColor="text1"/>
          <w:sz w:val="24"/>
          <w:szCs w:val="24"/>
        </w:rPr>
      </w:pPr>
    </w:p>
    <w:p w:rsidR="00AC7C5A" w:rsidRPr="005D0B8C" w:rsidRDefault="00AC7C5A" w:rsidP="005F5D83">
      <w:pPr>
        <w:spacing w:line="360" w:lineRule="auto"/>
        <w:jc w:val="both"/>
        <w:rPr>
          <w:rFonts w:ascii="Palatino Linotype" w:hAnsi="Palatino Linotype"/>
          <w:color w:val="000000" w:themeColor="text1"/>
          <w:sz w:val="24"/>
          <w:szCs w:val="24"/>
        </w:rPr>
      </w:pPr>
    </w:p>
    <w:p w:rsidR="00AC7C5A" w:rsidRPr="005D0B8C" w:rsidRDefault="00AC7C5A" w:rsidP="005F5D83">
      <w:pPr>
        <w:spacing w:line="360" w:lineRule="auto"/>
        <w:jc w:val="both"/>
        <w:rPr>
          <w:rFonts w:ascii="Palatino Linotype" w:hAnsi="Palatino Linotype"/>
          <w:color w:val="000000" w:themeColor="text1"/>
          <w:sz w:val="24"/>
          <w:szCs w:val="24"/>
        </w:rPr>
      </w:pPr>
    </w:p>
    <w:p w:rsidR="005B563A" w:rsidRPr="005D0B8C" w:rsidRDefault="00010A7A" w:rsidP="005B563A">
      <w:pPr>
        <w:spacing w:after="0" w:line="360" w:lineRule="auto"/>
        <w:jc w:val="center"/>
        <w:rPr>
          <w:rFonts w:ascii="Palatino Linotype" w:hAnsi="Palatino Linotype" w:cs="Arial"/>
          <w:b/>
          <w:color w:val="000000" w:themeColor="text1"/>
          <w:sz w:val="24"/>
          <w:szCs w:val="24"/>
        </w:rPr>
      </w:pPr>
      <w:r w:rsidRPr="005D0B8C">
        <w:rPr>
          <w:rFonts w:ascii="Palatino Linotype" w:hAnsi="Palatino Linotype" w:cs="Arial"/>
          <w:b/>
          <w:color w:val="000000" w:themeColor="text1"/>
          <w:sz w:val="24"/>
          <w:szCs w:val="24"/>
        </w:rPr>
        <w:lastRenderedPageBreak/>
        <w:t>ÍNDICE</w:t>
      </w:r>
    </w:p>
    <w:p w:rsidR="005B563A" w:rsidRPr="005D0B8C" w:rsidRDefault="005B563A" w:rsidP="005B563A">
      <w:pPr>
        <w:spacing w:after="0" w:line="360" w:lineRule="auto"/>
        <w:jc w:val="both"/>
        <w:rPr>
          <w:rFonts w:ascii="Palatino Linotype" w:hAnsi="Palatino Linotype" w:cs="Arial"/>
          <w:b/>
          <w:color w:val="000000" w:themeColor="text1"/>
          <w:sz w:val="24"/>
          <w:szCs w:val="24"/>
        </w:rPr>
      </w:pPr>
    </w:p>
    <w:sdt>
      <w:sdtPr>
        <w:rPr>
          <w:rFonts w:ascii="Palatino Linotype" w:hAnsi="Palatino Linotype"/>
          <w:color w:val="000000" w:themeColor="text1"/>
          <w:sz w:val="24"/>
          <w:szCs w:val="24"/>
          <w:lang w:val="es-ES"/>
        </w:rPr>
        <w:id w:val="-1625236335"/>
        <w:docPartObj>
          <w:docPartGallery w:val="Table of Contents"/>
          <w:docPartUnique/>
        </w:docPartObj>
      </w:sdtPr>
      <w:sdtEndPr>
        <w:rPr>
          <w:b/>
          <w:bCs/>
        </w:rPr>
      </w:sdtEndPr>
      <w:sdtContent>
        <w:p w:rsidR="006D5203" w:rsidRPr="006D5203" w:rsidRDefault="005B563A" w:rsidP="006D5203">
          <w:pPr>
            <w:pStyle w:val="TDC1"/>
            <w:spacing w:line="480" w:lineRule="auto"/>
            <w:rPr>
              <w:rFonts w:ascii="Palatino Linotype" w:eastAsiaTheme="minorEastAsia" w:hAnsi="Palatino Linotype"/>
              <w:noProof/>
              <w:lang w:eastAsia="es-MX"/>
            </w:rPr>
          </w:pPr>
          <w:r w:rsidRPr="006D5203">
            <w:rPr>
              <w:rFonts w:ascii="Palatino Linotype" w:eastAsiaTheme="majorEastAsia" w:hAnsi="Palatino Linotype" w:cstheme="majorBidi"/>
              <w:color w:val="000000" w:themeColor="text1"/>
              <w:sz w:val="24"/>
              <w:szCs w:val="24"/>
              <w:lang w:eastAsia="es-MX"/>
            </w:rPr>
            <w:fldChar w:fldCharType="begin"/>
          </w:r>
          <w:r w:rsidRPr="006D5203">
            <w:rPr>
              <w:rFonts w:ascii="Palatino Linotype" w:hAnsi="Palatino Linotype"/>
              <w:color w:val="000000" w:themeColor="text1"/>
              <w:sz w:val="24"/>
              <w:szCs w:val="24"/>
            </w:rPr>
            <w:instrText xml:space="preserve"> TOC \o "1-3" \h \z \u </w:instrText>
          </w:r>
          <w:r w:rsidRPr="006D5203">
            <w:rPr>
              <w:rFonts w:ascii="Palatino Linotype" w:eastAsiaTheme="majorEastAsia" w:hAnsi="Palatino Linotype" w:cstheme="majorBidi"/>
              <w:color w:val="000000" w:themeColor="text1"/>
              <w:sz w:val="24"/>
              <w:szCs w:val="24"/>
              <w:lang w:eastAsia="es-MX"/>
            </w:rPr>
            <w:fldChar w:fldCharType="separate"/>
          </w:r>
          <w:hyperlink w:anchor="_Toc524358246" w:history="1">
            <w:r w:rsidR="006D5203" w:rsidRPr="006D5203">
              <w:rPr>
                <w:rStyle w:val="Hipervnculo"/>
                <w:rFonts w:ascii="Palatino Linotype" w:hAnsi="Palatino Linotype"/>
                <w:b/>
                <w:noProof/>
              </w:rPr>
              <w:t>I.</w:t>
            </w:r>
            <w:r w:rsidR="006D5203" w:rsidRPr="006D5203">
              <w:rPr>
                <w:rFonts w:ascii="Palatino Linotype" w:eastAsiaTheme="minorEastAsia" w:hAnsi="Palatino Linotype"/>
                <w:noProof/>
                <w:lang w:eastAsia="es-MX"/>
              </w:rPr>
              <w:tab/>
            </w:r>
            <w:r w:rsidR="006D5203" w:rsidRPr="006D5203">
              <w:rPr>
                <w:rStyle w:val="Hipervnculo"/>
                <w:rFonts w:ascii="Palatino Linotype" w:hAnsi="Palatino Linotype"/>
                <w:b/>
                <w:noProof/>
              </w:rPr>
              <w:t>Consideraciones Generales</w:t>
            </w:r>
            <w:r w:rsidR="006D5203" w:rsidRPr="006D5203">
              <w:rPr>
                <w:rFonts w:ascii="Palatino Linotype" w:hAnsi="Palatino Linotype"/>
                <w:noProof/>
                <w:webHidden/>
              </w:rPr>
              <w:tab/>
            </w:r>
            <w:r w:rsidR="006D5203" w:rsidRPr="006D5203">
              <w:rPr>
                <w:rFonts w:ascii="Palatino Linotype" w:hAnsi="Palatino Linotype"/>
                <w:noProof/>
                <w:webHidden/>
              </w:rPr>
              <w:fldChar w:fldCharType="begin"/>
            </w:r>
            <w:r w:rsidR="006D5203" w:rsidRPr="006D5203">
              <w:rPr>
                <w:rFonts w:ascii="Palatino Linotype" w:hAnsi="Palatino Linotype"/>
                <w:noProof/>
                <w:webHidden/>
              </w:rPr>
              <w:instrText xml:space="preserve"> PAGEREF _Toc524358246 \h </w:instrText>
            </w:r>
            <w:r w:rsidR="006D5203" w:rsidRPr="006D5203">
              <w:rPr>
                <w:rFonts w:ascii="Palatino Linotype" w:hAnsi="Palatino Linotype"/>
                <w:noProof/>
                <w:webHidden/>
              </w:rPr>
            </w:r>
            <w:r w:rsidR="006D5203" w:rsidRPr="006D5203">
              <w:rPr>
                <w:rFonts w:ascii="Palatino Linotype" w:hAnsi="Palatino Linotype"/>
                <w:noProof/>
                <w:webHidden/>
              </w:rPr>
              <w:fldChar w:fldCharType="separate"/>
            </w:r>
            <w:r w:rsidR="006D5203" w:rsidRPr="006D5203">
              <w:rPr>
                <w:rFonts w:ascii="Palatino Linotype" w:hAnsi="Palatino Linotype"/>
                <w:noProof/>
                <w:webHidden/>
              </w:rPr>
              <w:t>2</w:t>
            </w:r>
            <w:r w:rsidR="006D5203" w:rsidRPr="006D5203">
              <w:rPr>
                <w:rFonts w:ascii="Palatino Linotype" w:hAnsi="Palatino Linotype"/>
                <w:noProof/>
                <w:webHidden/>
              </w:rPr>
              <w:fldChar w:fldCharType="end"/>
            </w:r>
          </w:hyperlink>
        </w:p>
        <w:p w:rsidR="006D5203" w:rsidRPr="006D5203" w:rsidRDefault="000254B8" w:rsidP="006D5203">
          <w:pPr>
            <w:pStyle w:val="TDC1"/>
            <w:spacing w:line="480" w:lineRule="auto"/>
            <w:rPr>
              <w:rFonts w:ascii="Palatino Linotype" w:eastAsiaTheme="minorEastAsia" w:hAnsi="Palatino Linotype"/>
              <w:noProof/>
              <w:lang w:eastAsia="es-MX"/>
            </w:rPr>
          </w:pPr>
          <w:hyperlink w:anchor="_Toc524358247" w:history="1">
            <w:r w:rsidR="006D5203" w:rsidRPr="006D5203">
              <w:rPr>
                <w:rStyle w:val="Hipervnculo"/>
                <w:rFonts w:ascii="Palatino Linotype" w:hAnsi="Palatino Linotype"/>
                <w:b/>
                <w:noProof/>
              </w:rPr>
              <w:t>I.</w:t>
            </w:r>
            <w:r w:rsidR="006D5203" w:rsidRPr="006D5203">
              <w:rPr>
                <w:rFonts w:ascii="Palatino Linotype" w:eastAsiaTheme="minorEastAsia" w:hAnsi="Palatino Linotype"/>
                <w:noProof/>
                <w:lang w:eastAsia="es-MX"/>
              </w:rPr>
              <w:tab/>
            </w:r>
            <w:r w:rsidR="006D5203" w:rsidRPr="006D5203">
              <w:rPr>
                <w:rStyle w:val="Hipervnculo"/>
                <w:rFonts w:ascii="Palatino Linotype" w:hAnsi="Palatino Linotype"/>
                <w:b/>
                <w:noProof/>
              </w:rPr>
              <w:t>De la resolución emitida al recurso de revisión 2562/INFOEM/IP/RR/2018.</w:t>
            </w:r>
            <w:r w:rsidR="006D5203" w:rsidRPr="006D5203">
              <w:rPr>
                <w:rFonts w:ascii="Palatino Linotype" w:hAnsi="Palatino Linotype"/>
                <w:noProof/>
                <w:webHidden/>
              </w:rPr>
              <w:tab/>
            </w:r>
            <w:r w:rsidR="006D5203" w:rsidRPr="006D5203">
              <w:rPr>
                <w:rFonts w:ascii="Palatino Linotype" w:hAnsi="Palatino Linotype"/>
                <w:noProof/>
                <w:webHidden/>
              </w:rPr>
              <w:fldChar w:fldCharType="begin"/>
            </w:r>
            <w:r w:rsidR="006D5203" w:rsidRPr="006D5203">
              <w:rPr>
                <w:rFonts w:ascii="Palatino Linotype" w:hAnsi="Palatino Linotype"/>
                <w:noProof/>
                <w:webHidden/>
              </w:rPr>
              <w:instrText xml:space="preserve"> PAGEREF _Toc524358247 \h </w:instrText>
            </w:r>
            <w:r w:rsidR="006D5203" w:rsidRPr="006D5203">
              <w:rPr>
                <w:rFonts w:ascii="Palatino Linotype" w:hAnsi="Palatino Linotype"/>
                <w:noProof/>
                <w:webHidden/>
              </w:rPr>
            </w:r>
            <w:r w:rsidR="006D5203" w:rsidRPr="006D5203">
              <w:rPr>
                <w:rFonts w:ascii="Palatino Linotype" w:hAnsi="Palatino Linotype"/>
                <w:noProof/>
                <w:webHidden/>
              </w:rPr>
              <w:fldChar w:fldCharType="separate"/>
            </w:r>
            <w:r w:rsidR="006D5203" w:rsidRPr="006D5203">
              <w:rPr>
                <w:rFonts w:ascii="Palatino Linotype" w:hAnsi="Palatino Linotype"/>
                <w:noProof/>
                <w:webHidden/>
              </w:rPr>
              <w:t>4</w:t>
            </w:r>
            <w:r w:rsidR="006D5203" w:rsidRPr="006D5203">
              <w:rPr>
                <w:rFonts w:ascii="Palatino Linotype" w:hAnsi="Palatino Linotype"/>
                <w:noProof/>
                <w:webHidden/>
              </w:rPr>
              <w:fldChar w:fldCharType="end"/>
            </w:r>
          </w:hyperlink>
        </w:p>
        <w:p w:rsidR="006D5203" w:rsidRPr="006D5203" w:rsidRDefault="000254B8" w:rsidP="006D5203">
          <w:pPr>
            <w:pStyle w:val="TDC1"/>
            <w:spacing w:line="480" w:lineRule="auto"/>
            <w:rPr>
              <w:rFonts w:ascii="Palatino Linotype" w:eastAsiaTheme="minorEastAsia" w:hAnsi="Palatino Linotype"/>
              <w:noProof/>
              <w:lang w:eastAsia="es-MX"/>
            </w:rPr>
          </w:pPr>
          <w:hyperlink w:anchor="_Toc524358248" w:history="1">
            <w:r w:rsidR="006D5203" w:rsidRPr="006D5203">
              <w:rPr>
                <w:rStyle w:val="Hipervnculo"/>
                <w:rFonts w:ascii="Palatino Linotype" w:hAnsi="Palatino Linotype"/>
                <w:b/>
                <w:noProof/>
                <w:lang w:val="es-ES_tradnl" w:eastAsia="es-ES"/>
              </w:rPr>
              <w:t>a)</w:t>
            </w:r>
            <w:r w:rsidR="006D5203" w:rsidRPr="006D5203">
              <w:rPr>
                <w:rFonts w:ascii="Palatino Linotype" w:eastAsiaTheme="minorEastAsia" w:hAnsi="Palatino Linotype"/>
                <w:noProof/>
                <w:lang w:eastAsia="es-MX"/>
              </w:rPr>
              <w:tab/>
            </w:r>
            <w:r w:rsidR="006D5203" w:rsidRPr="006D5203">
              <w:rPr>
                <w:rStyle w:val="Hipervnculo"/>
                <w:rFonts w:ascii="Palatino Linotype" w:hAnsi="Palatino Linotype"/>
                <w:b/>
                <w:noProof/>
                <w:lang w:val="es-ES_tradnl" w:eastAsia="es-ES"/>
              </w:rPr>
              <w:t>Primer juicio: el de idoneidad.</w:t>
            </w:r>
            <w:r w:rsidR="006D5203" w:rsidRPr="006D5203">
              <w:rPr>
                <w:rFonts w:ascii="Palatino Linotype" w:hAnsi="Palatino Linotype"/>
                <w:noProof/>
                <w:webHidden/>
              </w:rPr>
              <w:tab/>
            </w:r>
            <w:r w:rsidR="006D5203" w:rsidRPr="006D5203">
              <w:rPr>
                <w:rFonts w:ascii="Palatino Linotype" w:hAnsi="Palatino Linotype"/>
                <w:noProof/>
                <w:webHidden/>
              </w:rPr>
              <w:fldChar w:fldCharType="begin"/>
            </w:r>
            <w:r w:rsidR="006D5203" w:rsidRPr="006D5203">
              <w:rPr>
                <w:rFonts w:ascii="Palatino Linotype" w:hAnsi="Palatino Linotype"/>
                <w:noProof/>
                <w:webHidden/>
              </w:rPr>
              <w:instrText xml:space="preserve"> PAGEREF _Toc524358248 \h </w:instrText>
            </w:r>
            <w:r w:rsidR="006D5203" w:rsidRPr="006D5203">
              <w:rPr>
                <w:rFonts w:ascii="Palatino Linotype" w:hAnsi="Palatino Linotype"/>
                <w:noProof/>
                <w:webHidden/>
              </w:rPr>
            </w:r>
            <w:r w:rsidR="006D5203" w:rsidRPr="006D5203">
              <w:rPr>
                <w:rFonts w:ascii="Palatino Linotype" w:hAnsi="Palatino Linotype"/>
                <w:noProof/>
                <w:webHidden/>
              </w:rPr>
              <w:fldChar w:fldCharType="separate"/>
            </w:r>
            <w:r w:rsidR="006D5203" w:rsidRPr="006D5203">
              <w:rPr>
                <w:rFonts w:ascii="Palatino Linotype" w:hAnsi="Palatino Linotype"/>
                <w:noProof/>
                <w:webHidden/>
              </w:rPr>
              <w:t>9</w:t>
            </w:r>
            <w:r w:rsidR="006D5203" w:rsidRPr="006D5203">
              <w:rPr>
                <w:rFonts w:ascii="Palatino Linotype" w:hAnsi="Palatino Linotype"/>
                <w:noProof/>
                <w:webHidden/>
              </w:rPr>
              <w:fldChar w:fldCharType="end"/>
            </w:r>
          </w:hyperlink>
        </w:p>
        <w:p w:rsidR="006D5203" w:rsidRPr="006D5203" w:rsidRDefault="000254B8" w:rsidP="006D5203">
          <w:pPr>
            <w:pStyle w:val="TDC1"/>
            <w:spacing w:line="480" w:lineRule="auto"/>
            <w:rPr>
              <w:rFonts w:ascii="Palatino Linotype" w:eastAsiaTheme="minorEastAsia" w:hAnsi="Palatino Linotype"/>
              <w:noProof/>
              <w:lang w:eastAsia="es-MX"/>
            </w:rPr>
          </w:pPr>
          <w:hyperlink w:anchor="_Toc524358249" w:history="1">
            <w:r w:rsidR="006D5203" w:rsidRPr="006D5203">
              <w:rPr>
                <w:rStyle w:val="Hipervnculo"/>
                <w:rFonts w:ascii="Palatino Linotype" w:hAnsi="Palatino Linotype"/>
                <w:b/>
                <w:noProof/>
                <w:lang w:val="es-ES_tradnl" w:eastAsia="es-ES"/>
              </w:rPr>
              <w:t>b)</w:t>
            </w:r>
            <w:r w:rsidR="006D5203" w:rsidRPr="006D5203">
              <w:rPr>
                <w:rFonts w:ascii="Palatino Linotype" w:eastAsiaTheme="minorEastAsia" w:hAnsi="Palatino Linotype"/>
                <w:noProof/>
                <w:lang w:eastAsia="es-MX"/>
              </w:rPr>
              <w:tab/>
            </w:r>
            <w:r w:rsidR="006D5203" w:rsidRPr="006D5203">
              <w:rPr>
                <w:rStyle w:val="Hipervnculo"/>
                <w:rFonts w:ascii="Palatino Linotype" w:hAnsi="Palatino Linotype"/>
                <w:b/>
                <w:noProof/>
                <w:lang w:val="es-ES_tradnl" w:eastAsia="es-ES"/>
              </w:rPr>
              <w:t>Segundo juicio: el de necesidad.</w:t>
            </w:r>
            <w:r w:rsidR="006D5203" w:rsidRPr="006D5203">
              <w:rPr>
                <w:rFonts w:ascii="Palatino Linotype" w:hAnsi="Palatino Linotype"/>
                <w:noProof/>
                <w:webHidden/>
              </w:rPr>
              <w:tab/>
            </w:r>
            <w:r w:rsidR="006D5203" w:rsidRPr="006D5203">
              <w:rPr>
                <w:rFonts w:ascii="Palatino Linotype" w:hAnsi="Palatino Linotype"/>
                <w:noProof/>
                <w:webHidden/>
              </w:rPr>
              <w:fldChar w:fldCharType="begin"/>
            </w:r>
            <w:r w:rsidR="006D5203" w:rsidRPr="006D5203">
              <w:rPr>
                <w:rFonts w:ascii="Palatino Linotype" w:hAnsi="Palatino Linotype"/>
                <w:noProof/>
                <w:webHidden/>
              </w:rPr>
              <w:instrText xml:space="preserve"> PAGEREF _Toc524358249 \h </w:instrText>
            </w:r>
            <w:r w:rsidR="006D5203" w:rsidRPr="006D5203">
              <w:rPr>
                <w:rFonts w:ascii="Palatino Linotype" w:hAnsi="Palatino Linotype"/>
                <w:noProof/>
                <w:webHidden/>
              </w:rPr>
            </w:r>
            <w:r w:rsidR="006D5203" w:rsidRPr="006D5203">
              <w:rPr>
                <w:rFonts w:ascii="Palatino Linotype" w:hAnsi="Palatino Linotype"/>
                <w:noProof/>
                <w:webHidden/>
              </w:rPr>
              <w:fldChar w:fldCharType="separate"/>
            </w:r>
            <w:r w:rsidR="006D5203" w:rsidRPr="006D5203">
              <w:rPr>
                <w:rFonts w:ascii="Palatino Linotype" w:hAnsi="Palatino Linotype"/>
                <w:noProof/>
                <w:webHidden/>
              </w:rPr>
              <w:t>11</w:t>
            </w:r>
            <w:r w:rsidR="006D5203" w:rsidRPr="006D5203">
              <w:rPr>
                <w:rFonts w:ascii="Palatino Linotype" w:hAnsi="Palatino Linotype"/>
                <w:noProof/>
                <w:webHidden/>
              </w:rPr>
              <w:fldChar w:fldCharType="end"/>
            </w:r>
          </w:hyperlink>
        </w:p>
        <w:p w:rsidR="006D5203" w:rsidRPr="006D5203" w:rsidRDefault="000254B8" w:rsidP="006D5203">
          <w:pPr>
            <w:pStyle w:val="TDC1"/>
            <w:spacing w:line="480" w:lineRule="auto"/>
            <w:rPr>
              <w:rFonts w:ascii="Palatino Linotype" w:eastAsiaTheme="minorEastAsia" w:hAnsi="Palatino Linotype"/>
              <w:noProof/>
              <w:lang w:eastAsia="es-MX"/>
            </w:rPr>
          </w:pPr>
          <w:hyperlink w:anchor="_Toc524358250" w:history="1">
            <w:r w:rsidR="006D5203" w:rsidRPr="006D5203">
              <w:rPr>
                <w:rStyle w:val="Hipervnculo"/>
                <w:rFonts w:ascii="Palatino Linotype" w:hAnsi="Palatino Linotype"/>
                <w:b/>
                <w:noProof/>
                <w:lang w:val="es-ES_tradnl" w:eastAsia="es-ES"/>
              </w:rPr>
              <w:t>c)</w:t>
            </w:r>
            <w:r w:rsidR="006D5203" w:rsidRPr="006D5203">
              <w:rPr>
                <w:rFonts w:ascii="Palatino Linotype" w:eastAsiaTheme="minorEastAsia" w:hAnsi="Palatino Linotype"/>
                <w:noProof/>
                <w:lang w:eastAsia="es-MX"/>
              </w:rPr>
              <w:tab/>
            </w:r>
            <w:r w:rsidR="006D5203" w:rsidRPr="006D5203">
              <w:rPr>
                <w:rStyle w:val="Hipervnculo"/>
                <w:rFonts w:ascii="Palatino Linotype" w:hAnsi="Palatino Linotype"/>
                <w:b/>
                <w:noProof/>
                <w:lang w:val="es-ES_tradnl" w:eastAsia="es-ES"/>
              </w:rPr>
              <w:t>Tercer juicio: Estricta ponderación.</w:t>
            </w:r>
            <w:r w:rsidR="006D5203" w:rsidRPr="006D5203">
              <w:rPr>
                <w:rFonts w:ascii="Palatino Linotype" w:hAnsi="Palatino Linotype"/>
                <w:noProof/>
                <w:webHidden/>
              </w:rPr>
              <w:tab/>
            </w:r>
            <w:r w:rsidR="006D5203" w:rsidRPr="006D5203">
              <w:rPr>
                <w:rFonts w:ascii="Palatino Linotype" w:hAnsi="Palatino Linotype"/>
                <w:noProof/>
                <w:webHidden/>
              </w:rPr>
              <w:fldChar w:fldCharType="begin"/>
            </w:r>
            <w:r w:rsidR="006D5203" w:rsidRPr="006D5203">
              <w:rPr>
                <w:rFonts w:ascii="Palatino Linotype" w:hAnsi="Palatino Linotype"/>
                <w:noProof/>
                <w:webHidden/>
              </w:rPr>
              <w:instrText xml:space="preserve"> PAGEREF _Toc524358250 \h </w:instrText>
            </w:r>
            <w:r w:rsidR="006D5203" w:rsidRPr="006D5203">
              <w:rPr>
                <w:rFonts w:ascii="Palatino Linotype" w:hAnsi="Palatino Linotype"/>
                <w:noProof/>
                <w:webHidden/>
              </w:rPr>
            </w:r>
            <w:r w:rsidR="006D5203" w:rsidRPr="006D5203">
              <w:rPr>
                <w:rFonts w:ascii="Palatino Linotype" w:hAnsi="Palatino Linotype"/>
                <w:noProof/>
                <w:webHidden/>
              </w:rPr>
              <w:fldChar w:fldCharType="separate"/>
            </w:r>
            <w:r w:rsidR="006D5203" w:rsidRPr="006D5203">
              <w:rPr>
                <w:rFonts w:ascii="Palatino Linotype" w:hAnsi="Palatino Linotype"/>
                <w:noProof/>
                <w:webHidden/>
              </w:rPr>
              <w:t>12</w:t>
            </w:r>
            <w:r w:rsidR="006D5203" w:rsidRPr="006D5203">
              <w:rPr>
                <w:rFonts w:ascii="Palatino Linotype" w:hAnsi="Palatino Linotype"/>
                <w:noProof/>
                <w:webHidden/>
              </w:rPr>
              <w:fldChar w:fldCharType="end"/>
            </w:r>
          </w:hyperlink>
        </w:p>
        <w:p w:rsidR="005B563A" w:rsidRPr="005D0B8C" w:rsidRDefault="005B563A" w:rsidP="006D5203">
          <w:pPr>
            <w:spacing w:line="480" w:lineRule="auto"/>
            <w:ind w:left="425" w:hanging="425"/>
            <w:rPr>
              <w:rFonts w:ascii="Palatino Linotype" w:hAnsi="Palatino Linotype"/>
              <w:color w:val="000000" w:themeColor="text1"/>
              <w:sz w:val="24"/>
              <w:szCs w:val="24"/>
            </w:rPr>
          </w:pPr>
          <w:r w:rsidRPr="006D5203">
            <w:rPr>
              <w:rFonts w:ascii="Palatino Linotype" w:hAnsi="Palatino Linotype"/>
              <w:b/>
              <w:bCs/>
              <w:color w:val="000000" w:themeColor="text1"/>
              <w:sz w:val="24"/>
              <w:szCs w:val="24"/>
              <w:lang w:val="es-ES"/>
            </w:rPr>
            <w:fldChar w:fldCharType="end"/>
          </w:r>
        </w:p>
      </w:sdtContent>
    </w:sdt>
    <w:p w:rsidR="00010A7A" w:rsidRPr="005D0B8C" w:rsidRDefault="00010A7A" w:rsidP="00010A7A">
      <w:pPr>
        <w:pStyle w:val="Ttulo1"/>
        <w:ind w:left="720"/>
        <w:rPr>
          <w:rFonts w:ascii="Palatino Linotype" w:hAnsi="Palatino Linotype"/>
          <w:b/>
          <w:color w:val="000000" w:themeColor="text1"/>
          <w:sz w:val="24"/>
          <w:szCs w:val="24"/>
        </w:rPr>
      </w:pPr>
    </w:p>
    <w:p w:rsidR="00010A7A" w:rsidRPr="005D0B8C" w:rsidRDefault="00010A7A" w:rsidP="00010A7A">
      <w:pPr>
        <w:rPr>
          <w:rFonts w:ascii="Palatino Linotype" w:hAnsi="Palatino Linotype"/>
          <w:sz w:val="24"/>
          <w:szCs w:val="24"/>
        </w:rPr>
      </w:pPr>
    </w:p>
    <w:p w:rsidR="00010A7A" w:rsidRPr="005D0B8C" w:rsidRDefault="00010A7A" w:rsidP="00010A7A">
      <w:pPr>
        <w:rPr>
          <w:rFonts w:ascii="Palatino Linotype" w:hAnsi="Palatino Linotype"/>
          <w:sz w:val="24"/>
          <w:szCs w:val="24"/>
        </w:rPr>
      </w:pPr>
    </w:p>
    <w:p w:rsidR="00010A7A" w:rsidRPr="005D0B8C" w:rsidRDefault="00010A7A" w:rsidP="00010A7A">
      <w:pPr>
        <w:rPr>
          <w:rFonts w:ascii="Palatino Linotype" w:hAnsi="Palatino Linotype"/>
          <w:sz w:val="24"/>
          <w:szCs w:val="24"/>
        </w:rPr>
      </w:pPr>
    </w:p>
    <w:p w:rsidR="00010A7A" w:rsidRPr="005D0B8C" w:rsidRDefault="00010A7A" w:rsidP="00010A7A">
      <w:pPr>
        <w:rPr>
          <w:rFonts w:ascii="Palatino Linotype" w:hAnsi="Palatino Linotype"/>
          <w:sz w:val="24"/>
          <w:szCs w:val="24"/>
        </w:rPr>
      </w:pPr>
    </w:p>
    <w:p w:rsidR="00010A7A" w:rsidRPr="005D0B8C" w:rsidRDefault="00010A7A" w:rsidP="00010A7A">
      <w:pPr>
        <w:rPr>
          <w:rFonts w:ascii="Palatino Linotype" w:hAnsi="Palatino Linotype"/>
          <w:sz w:val="24"/>
          <w:szCs w:val="24"/>
        </w:rPr>
      </w:pPr>
    </w:p>
    <w:p w:rsidR="00AC7C5A" w:rsidRPr="005D0B8C" w:rsidRDefault="00AC7C5A" w:rsidP="00AC7C5A">
      <w:pPr>
        <w:pStyle w:val="Ttulo1"/>
        <w:ind w:left="720"/>
        <w:rPr>
          <w:rFonts w:ascii="Palatino Linotype" w:hAnsi="Palatino Linotype"/>
          <w:b/>
          <w:color w:val="000000" w:themeColor="text1"/>
          <w:sz w:val="24"/>
          <w:szCs w:val="24"/>
        </w:rPr>
      </w:pPr>
    </w:p>
    <w:p w:rsidR="00AC7C5A" w:rsidRDefault="00AC7C5A" w:rsidP="00AC7C5A">
      <w:pPr>
        <w:rPr>
          <w:rFonts w:ascii="Palatino Linotype" w:hAnsi="Palatino Linotype"/>
          <w:sz w:val="24"/>
          <w:szCs w:val="24"/>
        </w:rPr>
      </w:pPr>
    </w:p>
    <w:p w:rsidR="006D5203" w:rsidRDefault="006D5203" w:rsidP="00AC7C5A">
      <w:pPr>
        <w:rPr>
          <w:rFonts w:ascii="Palatino Linotype" w:hAnsi="Palatino Linotype"/>
          <w:sz w:val="24"/>
          <w:szCs w:val="24"/>
        </w:rPr>
      </w:pPr>
    </w:p>
    <w:p w:rsidR="00506287" w:rsidRPr="005D0B8C" w:rsidRDefault="00506287" w:rsidP="00AC7C5A">
      <w:pPr>
        <w:rPr>
          <w:rFonts w:ascii="Palatino Linotype" w:hAnsi="Palatino Linotype"/>
          <w:sz w:val="24"/>
          <w:szCs w:val="24"/>
        </w:rPr>
      </w:pPr>
    </w:p>
    <w:p w:rsidR="00D31E87" w:rsidRPr="005D0B8C" w:rsidRDefault="00D31E87" w:rsidP="005F5D83">
      <w:pPr>
        <w:pStyle w:val="Ttulo1"/>
        <w:numPr>
          <w:ilvl w:val="0"/>
          <w:numId w:val="19"/>
        </w:numPr>
        <w:ind w:hanging="153"/>
        <w:rPr>
          <w:rFonts w:ascii="Palatino Linotype" w:hAnsi="Palatino Linotype"/>
          <w:b/>
          <w:color w:val="000000" w:themeColor="text1"/>
          <w:sz w:val="24"/>
          <w:szCs w:val="24"/>
        </w:rPr>
      </w:pPr>
      <w:bookmarkStart w:id="0" w:name="_Toc524358246"/>
      <w:r w:rsidRPr="005D0B8C">
        <w:rPr>
          <w:rFonts w:ascii="Palatino Linotype" w:hAnsi="Palatino Linotype"/>
          <w:b/>
          <w:color w:val="000000" w:themeColor="text1"/>
          <w:sz w:val="24"/>
          <w:szCs w:val="24"/>
        </w:rPr>
        <w:lastRenderedPageBreak/>
        <w:t>Consideraciones Generales</w:t>
      </w:r>
      <w:bookmarkEnd w:id="0"/>
    </w:p>
    <w:p w:rsidR="00D31E87" w:rsidRPr="005D0B8C" w:rsidRDefault="00D31E87" w:rsidP="00D31E87">
      <w:pPr>
        <w:pStyle w:val="Prrafodelista"/>
        <w:spacing w:line="360" w:lineRule="auto"/>
        <w:ind w:left="1080"/>
        <w:jc w:val="both"/>
        <w:rPr>
          <w:rFonts w:ascii="Palatino Linotype" w:hAnsi="Palatino Linotype"/>
          <w:color w:val="000000" w:themeColor="text1"/>
          <w:sz w:val="24"/>
          <w:szCs w:val="24"/>
        </w:rPr>
      </w:pPr>
    </w:p>
    <w:p w:rsidR="00D31E87" w:rsidRPr="005D0B8C" w:rsidRDefault="00D31E87" w:rsidP="0032572C">
      <w:pPr>
        <w:pStyle w:val="Prrafodelista"/>
        <w:numPr>
          <w:ilvl w:val="0"/>
          <w:numId w:val="8"/>
        </w:numPr>
        <w:spacing w:line="360" w:lineRule="auto"/>
        <w:jc w:val="both"/>
        <w:rPr>
          <w:rFonts w:ascii="Palatino Linotype" w:hAnsi="Palatino Linotype"/>
          <w:color w:val="000000" w:themeColor="text1"/>
          <w:sz w:val="24"/>
          <w:szCs w:val="24"/>
        </w:rPr>
      </w:pPr>
      <w:r w:rsidRPr="005D0B8C">
        <w:rPr>
          <w:rFonts w:ascii="Palatino Linotype" w:hAnsi="Palatino Linotype"/>
          <w:color w:val="000000" w:themeColor="text1"/>
          <w:sz w:val="24"/>
          <w:szCs w:val="24"/>
        </w:rPr>
        <w:t>He</w:t>
      </w:r>
      <w:r w:rsidR="00F072D4" w:rsidRPr="005D0B8C">
        <w:rPr>
          <w:rFonts w:ascii="Palatino Linotype" w:hAnsi="Palatino Linotype"/>
          <w:color w:val="000000" w:themeColor="text1"/>
          <w:sz w:val="24"/>
          <w:szCs w:val="24"/>
        </w:rPr>
        <w:t>mos</w:t>
      </w:r>
      <w:r w:rsidRPr="005D0B8C">
        <w:rPr>
          <w:rFonts w:ascii="Palatino Linotype" w:hAnsi="Palatino Linotype"/>
          <w:color w:val="000000" w:themeColor="text1"/>
          <w:sz w:val="24"/>
          <w:szCs w:val="24"/>
        </w:rPr>
        <w:t xml:space="preserve"> concurrido con </w:t>
      </w:r>
      <w:r w:rsidR="00F072D4" w:rsidRPr="005D0B8C">
        <w:rPr>
          <w:rFonts w:ascii="Palatino Linotype" w:hAnsi="Palatino Linotype"/>
          <w:color w:val="000000" w:themeColor="text1"/>
          <w:sz w:val="24"/>
          <w:szCs w:val="24"/>
        </w:rPr>
        <w:t>nuestra</w:t>
      </w:r>
      <w:r w:rsidRPr="005D0B8C">
        <w:rPr>
          <w:rFonts w:ascii="Palatino Linotype" w:hAnsi="Palatino Linotype"/>
          <w:color w:val="000000" w:themeColor="text1"/>
          <w:sz w:val="24"/>
          <w:szCs w:val="24"/>
        </w:rPr>
        <w:t xml:space="preserve"> opinión particular de la presente resolución emitida por el Pleno del Instituto de Transparencia, Acceso a la Información Pública y Protección de Datos Personales del Estado de México y Municipios, en su </w:t>
      </w:r>
      <w:r w:rsidR="00F072D4" w:rsidRPr="005D0B8C">
        <w:rPr>
          <w:rFonts w:ascii="Palatino Linotype" w:hAnsi="Palatino Linotype"/>
          <w:color w:val="000000" w:themeColor="text1"/>
          <w:sz w:val="24"/>
          <w:szCs w:val="24"/>
          <w:highlight w:val="yellow"/>
        </w:rPr>
        <w:t>tri</w:t>
      </w:r>
      <w:r w:rsidR="00233DEC" w:rsidRPr="005D0B8C">
        <w:rPr>
          <w:rFonts w:ascii="Palatino Linotype" w:hAnsi="Palatino Linotype"/>
          <w:color w:val="000000" w:themeColor="text1"/>
          <w:sz w:val="24"/>
          <w:szCs w:val="24"/>
          <w:highlight w:val="yellow"/>
        </w:rPr>
        <w:t xml:space="preserve">gésima </w:t>
      </w:r>
      <w:r w:rsidR="00F072D4" w:rsidRPr="005D0B8C">
        <w:rPr>
          <w:rFonts w:ascii="Palatino Linotype" w:hAnsi="Palatino Linotype"/>
          <w:color w:val="000000" w:themeColor="text1"/>
          <w:sz w:val="24"/>
          <w:szCs w:val="24"/>
          <w:highlight w:val="yellow"/>
        </w:rPr>
        <w:t>segund</w:t>
      </w:r>
      <w:r w:rsidR="00233DEC" w:rsidRPr="005D0B8C">
        <w:rPr>
          <w:rFonts w:ascii="Palatino Linotype" w:hAnsi="Palatino Linotype"/>
          <w:color w:val="000000" w:themeColor="text1"/>
          <w:sz w:val="24"/>
          <w:szCs w:val="24"/>
          <w:highlight w:val="yellow"/>
        </w:rPr>
        <w:t>a</w:t>
      </w:r>
      <w:r w:rsidRPr="005D0B8C">
        <w:rPr>
          <w:rFonts w:ascii="Palatino Linotype" w:hAnsi="Palatino Linotype"/>
          <w:color w:val="000000" w:themeColor="text1"/>
          <w:sz w:val="24"/>
          <w:szCs w:val="24"/>
          <w:highlight w:val="yellow"/>
        </w:rPr>
        <w:t xml:space="preserve"> sesión ordinaria de fecha </w:t>
      </w:r>
      <w:r w:rsidR="00F072D4" w:rsidRPr="005D0B8C">
        <w:rPr>
          <w:rFonts w:ascii="Palatino Linotype" w:hAnsi="Palatino Linotype"/>
          <w:color w:val="000000" w:themeColor="text1"/>
          <w:sz w:val="24"/>
          <w:szCs w:val="24"/>
          <w:highlight w:val="yellow"/>
        </w:rPr>
        <w:t>cinco</w:t>
      </w:r>
      <w:r w:rsidRPr="005D0B8C">
        <w:rPr>
          <w:rFonts w:ascii="Palatino Linotype" w:hAnsi="Palatino Linotype"/>
          <w:color w:val="000000" w:themeColor="text1"/>
          <w:sz w:val="24"/>
          <w:szCs w:val="24"/>
          <w:highlight w:val="yellow"/>
        </w:rPr>
        <w:t xml:space="preserve"> </w:t>
      </w:r>
      <w:r w:rsidR="00A23FC2" w:rsidRPr="005D0B8C">
        <w:rPr>
          <w:rFonts w:ascii="Palatino Linotype" w:hAnsi="Palatino Linotype"/>
          <w:color w:val="000000" w:themeColor="text1"/>
          <w:sz w:val="24"/>
          <w:szCs w:val="24"/>
          <w:highlight w:val="yellow"/>
        </w:rPr>
        <w:t>(</w:t>
      </w:r>
      <w:r w:rsidR="00F072D4" w:rsidRPr="005D0B8C">
        <w:rPr>
          <w:rFonts w:ascii="Palatino Linotype" w:hAnsi="Palatino Linotype"/>
          <w:color w:val="000000" w:themeColor="text1"/>
          <w:sz w:val="24"/>
          <w:szCs w:val="24"/>
          <w:highlight w:val="yellow"/>
        </w:rPr>
        <w:t>0</w:t>
      </w:r>
      <w:r w:rsidR="00516B40" w:rsidRPr="005D0B8C">
        <w:rPr>
          <w:rFonts w:ascii="Palatino Linotype" w:hAnsi="Palatino Linotype"/>
          <w:color w:val="000000" w:themeColor="text1"/>
          <w:sz w:val="24"/>
          <w:szCs w:val="24"/>
          <w:highlight w:val="yellow"/>
        </w:rPr>
        <w:t>5</w:t>
      </w:r>
      <w:r w:rsidR="00A23FC2" w:rsidRPr="005D0B8C">
        <w:rPr>
          <w:rFonts w:ascii="Palatino Linotype" w:hAnsi="Palatino Linotype"/>
          <w:color w:val="000000" w:themeColor="text1"/>
          <w:sz w:val="24"/>
          <w:szCs w:val="24"/>
          <w:highlight w:val="yellow"/>
        </w:rPr>
        <w:t xml:space="preserve">) </w:t>
      </w:r>
      <w:r w:rsidRPr="005D0B8C">
        <w:rPr>
          <w:rFonts w:ascii="Palatino Linotype" w:hAnsi="Palatino Linotype"/>
          <w:color w:val="000000" w:themeColor="text1"/>
          <w:sz w:val="24"/>
          <w:szCs w:val="24"/>
          <w:highlight w:val="yellow"/>
        </w:rPr>
        <w:t xml:space="preserve">de </w:t>
      </w:r>
      <w:r w:rsidR="00F072D4" w:rsidRPr="005D0B8C">
        <w:rPr>
          <w:rFonts w:ascii="Palatino Linotype" w:hAnsi="Palatino Linotype"/>
          <w:color w:val="000000" w:themeColor="text1"/>
          <w:sz w:val="24"/>
          <w:szCs w:val="24"/>
          <w:highlight w:val="yellow"/>
        </w:rPr>
        <w:t>septiembre</w:t>
      </w:r>
      <w:r w:rsidR="00516B40" w:rsidRPr="005D0B8C">
        <w:rPr>
          <w:rFonts w:ascii="Palatino Linotype" w:hAnsi="Palatino Linotype"/>
          <w:color w:val="000000" w:themeColor="text1"/>
          <w:sz w:val="24"/>
          <w:szCs w:val="24"/>
          <w:highlight w:val="yellow"/>
        </w:rPr>
        <w:t xml:space="preserve"> de dos mil dieciocho</w:t>
      </w:r>
      <w:r w:rsidR="0014513D" w:rsidRPr="005D0B8C">
        <w:rPr>
          <w:rFonts w:ascii="Palatino Linotype" w:hAnsi="Palatino Linotype"/>
          <w:color w:val="000000" w:themeColor="text1"/>
          <w:sz w:val="24"/>
          <w:szCs w:val="24"/>
        </w:rPr>
        <w:t>, promovida</w:t>
      </w:r>
      <w:r w:rsidRPr="005D0B8C">
        <w:rPr>
          <w:rFonts w:ascii="Palatino Linotype" w:hAnsi="Palatino Linotype"/>
          <w:color w:val="000000" w:themeColor="text1"/>
          <w:sz w:val="24"/>
          <w:szCs w:val="24"/>
        </w:rPr>
        <w:t xml:space="preserve"> por </w:t>
      </w:r>
      <w:r w:rsidR="006F766A" w:rsidRPr="006F766A">
        <w:rPr>
          <w:rFonts w:ascii="Palatino Linotype" w:hAnsi="Palatino Linotype"/>
          <w:b/>
          <w:sz w:val="24"/>
          <w:szCs w:val="24"/>
          <w:highlight w:val="black"/>
        </w:rPr>
        <w:t>---------------------------</w:t>
      </w:r>
      <w:r w:rsidRPr="005D0B8C">
        <w:rPr>
          <w:rFonts w:ascii="Palatino Linotype" w:hAnsi="Palatino Linotype"/>
          <w:color w:val="000000" w:themeColor="text1"/>
          <w:sz w:val="24"/>
          <w:szCs w:val="24"/>
        </w:rPr>
        <w:t xml:space="preserve"> en contra de la respuesta de</w:t>
      </w:r>
      <w:r w:rsidR="00F072D4" w:rsidRPr="005D0B8C">
        <w:rPr>
          <w:rFonts w:ascii="Palatino Linotype" w:hAnsi="Palatino Linotype"/>
          <w:color w:val="000000" w:themeColor="text1"/>
          <w:sz w:val="24"/>
          <w:szCs w:val="24"/>
        </w:rPr>
        <w:t xml:space="preserve"> </w:t>
      </w:r>
      <w:r w:rsidR="0032572C" w:rsidRPr="005D0B8C">
        <w:rPr>
          <w:rFonts w:ascii="Palatino Linotype" w:hAnsi="Palatino Linotype"/>
          <w:color w:val="000000" w:themeColor="text1"/>
          <w:sz w:val="24"/>
          <w:szCs w:val="24"/>
        </w:rPr>
        <w:t>l</w:t>
      </w:r>
      <w:r w:rsidR="00F072D4" w:rsidRPr="005D0B8C">
        <w:rPr>
          <w:rFonts w:ascii="Palatino Linotype" w:hAnsi="Palatino Linotype"/>
          <w:color w:val="000000" w:themeColor="text1"/>
          <w:sz w:val="24"/>
          <w:szCs w:val="24"/>
        </w:rPr>
        <w:t>a</w:t>
      </w:r>
      <w:r w:rsidRPr="005D0B8C">
        <w:rPr>
          <w:rFonts w:ascii="Palatino Linotype" w:hAnsi="Palatino Linotype"/>
          <w:color w:val="000000" w:themeColor="text1"/>
          <w:sz w:val="24"/>
          <w:szCs w:val="24"/>
        </w:rPr>
        <w:t xml:space="preserve">  </w:t>
      </w:r>
      <w:r w:rsidR="00F072D4" w:rsidRPr="005D0B8C">
        <w:rPr>
          <w:rFonts w:ascii="Palatino Linotype" w:hAnsi="Palatino Linotype"/>
          <w:b/>
          <w:color w:val="000000" w:themeColor="text1"/>
          <w:sz w:val="24"/>
          <w:szCs w:val="24"/>
        </w:rPr>
        <w:t>Universidad Politécnica del Valle de Toluca</w:t>
      </w:r>
      <w:r w:rsidR="0071204D" w:rsidRPr="005D0B8C">
        <w:rPr>
          <w:rFonts w:ascii="Palatino Linotype" w:hAnsi="Palatino Linotype"/>
          <w:b/>
          <w:color w:val="000000" w:themeColor="text1"/>
          <w:sz w:val="24"/>
          <w:szCs w:val="24"/>
        </w:rPr>
        <w:t>,</w:t>
      </w:r>
      <w:r w:rsidR="00934600" w:rsidRPr="005D0B8C">
        <w:rPr>
          <w:rFonts w:ascii="Palatino Linotype" w:hAnsi="Palatino Linotype"/>
          <w:color w:val="000000" w:themeColor="text1"/>
          <w:sz w:val="24"/>
          <w:szCs w:val="24"/>
        </w:rPr>
        <w:t xml:space="preserve"> </w:t>
      </w:r>
      <w:r w:rsidRPr="005D0B8C">
        <w:rPr>
          <w:rFonts w:ascii="Palatino Linotype" w:hAnsi="Palatino Linotype"/>
          <w:color w:val="000000" w:themeColor="text1"/>
          <w:sz w:val="24"/>
          <w:szCs w:val="24"/>
        </w:rPr>
        <w:t xml:space="preserve">procedimiento al que se le asignó el número de expediente </w:t>
      </w:r>
      <w:r w:rsidR="00381DDA" w:rsidRPr="005D0B8C">
        <w:rPr>
          <w:rFonts w:ascii="Palatino Linotype" w:hAnsi="Palatino Linotype"/>
          <w:b/>
          <w:color w:val="000000" w:themeColor="text1"/>
          <w:sz w:val="24"/>
          <w:szCs w:val="24"/>
        </w:rPr>
        <w:t>02562/INFOEM/IP/RR/2018</w:t>
      </w:r>
      <w:r w:rsidR="0071204D" w:rsidRPr="005D0B8C">
        <w:rPr>
          <w:rStyle w:val="Ninguno"/>
          <w:rFonts w:ascii="Palatino Linotype" w:eastAsia="Palatino Linotype" w:hAnsi="Palatino Linotype" w:cs="Palatino Linotype"/>
          <w:b/>
          <w:bCs/>
          <w:sz w:val="24"/>
          <w:szCs w:val="24"/>
        </w:rPr>
        <w:t>.</w:t>
      </w:r>
    </w:p>
    <w:p w:rsidR="00D31E87" w:rsidRPr="005D0B8C" w:rsidRDefault="00D31E87" w:rsidP="00D31E87">
      <w:pPr>
        <w:pStyle w:val="Prrafodelista"/>
        <w:spacing w:line="360" w:lineRule="auto"/>
        <w:ind w:left="360"/>
        <w:jc w:val="both"/>
        <w:rPr>
          <w:rFonts w:ascii="Palatino Linotype" w:hAnsi="Palatino Linotype"/>
          <w:color w:val="000000" w:themeColor="text1"/>
          <w:sz w:val="24"/>
          <w:szCs w:val="24"/>
        </w:rPr>
      </w:pPr>
    </w:p>
    <w:p w:rsidR="00381DDA" w:rsidRPr="005D0B8C" w:rsidRDefault="00381DDA" w:rsidP="00381DDA">
      <w:pPr>
        <w:pStyle w:val="Prrafodelista"/>
        <w:numPr>
          <w:ilvl w:val="0"/>
          <w:numId w:val="8"/>
        </w:numPr>
        <w:spacing w:line="360" w:lineRule="auto"/>
        <w:jc w:val="both"/>
        <w:rPr>
          <w:rFonts w:ascii="Palatino Linotype" w:eastAsia="Calibri" w:hAnsi="Palatino Linotype" w:cs="Arial"/>
          <w:sz w:val="24"/>
          <w:szCs w:val="24"/>
        </w:rPr>
      </w:pPr>
      <w:r w:rsidRPr="005D0B8C">
        <w:rPr>
          <w:rFonts w:ascii="Palatino Linotype" w:hAnsi="Palatino Linotype"/>
          <w:sz w:val="24"/>
          <w:szCs w:val="24"/>
        </w:rPr>
        <w:t>La resolución</w:t>
      </w:r>
      <w:r w:rsidR="005D0B8C" w:rsidRPr="005D0B8C">
        <w:rPr>
          <w:rFonts w:ascii="Palatino Linotype" w:hAnsi="Palatino Linotype"/>
          <w:sz w:val="24"/>
          <w:szCs w:val="24"/>
        </w:rPr>
        <w:t xml:space="preserve"> de mérito,</w:t>
      </w:r>
      <w:r w:rsidRPr="005D0B8C">
        <w:rPr>
          <w:rFonts w:ascii="Palatino Linotype" w:hAnsi="Palatino Linotype"/>
          <w:sz w:val="24"/>
          <w:szCs w:val="24"/>
        </w:rPr>
        <w:t xml:space="preserve"> determina </w:t>
      </w:r>
      <w:r w:rsidRPr="005D0B8C">
        <w:rPr>
          <w:rFonts w:ascii="Palatino Linotype" w:hAnsi="Palatino Linotype" w:cs="Arial"/>
          <w:sz w:val="24"/>
          <w:szCs w:val="24"/>
        </w:rPr>
        <w:t>revocar</w:t>
      </w:r>
      <w:r w:rsidRPr="005D0B8C">
        <w:rPr>
          <w:rFonts w:ascii="Palatino Linotype" w:hAnsi="Palatino Linotype" w:cs="Arial"/>
          <w:b/>
          <w:sz w:val="24"/>
          <w:szCs w:val="24"/>
        </w:rPr>
        <w:t xml:space="preserve"> </w:t>
      </w:r>
      <w:r w:rsidRPr="005D0B8C">
        <w:rPr>
          <w:rFonts w:ascii="Palatino Linotype" w:eastAsia="Calibri" w:hAnsi="Palatino Linotype" w:cs="Arial"/>
          <w:sz w:val="24"/>
          <w:szCs w:val="24"/>
        </w:rPr>
        <w:t xml:space="preserve">la respuesta  proporcionada por el Sujeto Obligado y le ordena atienda la solicitud de información 00521/UPVT/IP/2018 </w:t>
      </w:r>
      <w:r w:rsidRPr="005D0B8C">
        <w:rPr>
          <w:rFonts w:ascii="Palatino Linotype" w:hAnsi="Palatino Linotype" w:cs="Arial"/>
          <w:sz w:val="24"/>
          <w:szCs w:val="24"/>
        </w:rPr>
        <w:t>en términos de</w:t>
      </w:r>
      <w:r w:rsidR="005D0B8C" w:rsidRPr="005D0B8C">
        <w:rPr>
          <w:rFonts w:ascii="Palatino Linotype" w:hAnsi="Palatino Linotype" w:cs="Arial"/>
          <w:sz w:val="24"/>
          <w:szCs w:val="24"/>
        </w:rPr>
        <w:t xml:space="preserve"> su</w:t>
      </w:r>
      <w:r w:rsidRPr="005D0B8C">
        <w:rPr>
          <w:rFonts w:ascii="Palatino Linotype" w:hAnsi="Palatino Linotype" w:cs="Arial"/>
          <w:bCs/>
          <w:sz w:val="24"/>
          <w:szCs w:val="24"/>
        </w:rPr>
        <w:t xml:space="preserve"> Considerando Quinto, </w:t>
      </w:r>
      <w:r w:rsidRPr="005D0B8C">
        <w:rPr>
          <w:rFonts w:ascii="Palatino Linotype" w:hAnsi="Palatino Linotype" w:cs="Arial"/>
          <w:sz w:val="24"/>
          <w:szCs w:val="24"/>
        </w:rPr>
        <w:t xml:space="preserve">y entregue al hoy recurrente vía SAIMEX,  </w:t>
      </w:r>
      <w:r w:rsidRPr="005D0B8C">
        <w:rPr>
          <w:rFonts w:ascii="Palatino Linotype" w:eastAsia="Calibri" w:hAnsi="Palatino Linotype" w:cs="Arial"/>
          <w:sz w:val="24"/>
          <w:szCs w:val="24"/>
        </w:rPr>
        <w:t xml:space="preserve">lo siguiente: </w:t>
      </w:r>
    </w:p>
    <w:p w:rsidR="00381DDA" w:rsidRPr="005D0B8C" w:rsidRDefault="00381DDA" w:rsidP="00381DDA">
      <w:pPr>
        <w:spacing w:line="360" w:lineRule="auto"/>
        <w:ind w:left="709" w:right="335" w:hanging="142"/>
        <w:jc w:val="both"/>
        <w:rPr>
          <w:rFonts w:ascii="Palatino Linotype" w:hAnsi="Palatino Linotype"/>
          <w:i/>
          <w:sz w:val="24"/>
          <w:szCs w:val="24"/>
        </w:rPr>
      </w:pPr>
      <w:r w:rsidRPr="005D0B8C">
        <w:rPr>
          <w:rFonts w:ascii="Palatino Linotype" w:hAnsi="Palatino Linotype"/>
          <w:i/>
          <w:sz w:val="24"/>
          <w:szCs w:val="24"/>
        </w:rPr>
        <w:t>“El Acuerdo de Clasificación de la información en su totalidad como confidencial que deberá realizar su Comité de Transparencia, respecto de los exámenes que como tiempo completo aplicó la profesora referida en la solicitud en términos de los artículos 122 y 143 de la Ley de Transparencia y Acceso a la Información Pública del Estado de México y Municipios.”</w:t>
      </w:r>
    </w:p>
    <w:p w:rsidR="00381DDA" w:rsidRPr="005D0B8C" w:rsidRDefault="00381DDA" w:rsidP="00381DDA">
      <w:pPr>
        <w:pStyle w:val="Prrafodelista"/>
        <w:spacing w:line="360" w:lineRule="auto"/>
        <w:ind w:left="360"/>
        <w:jc w:val="both"/>
        <w:rPr>
          <w:rFonts w:ascii="Palatino Linotype" w:hAnsi="Palatino Linotype"/>
          <w:b/>
          <w:bCs/>
          <w:i/>
          <w:sz w:val="24"/>
          <w:szCs w:val="24"/>
        </w:rPr>
      </w:pPr>
    </w:p>
    <w:p w:rsidR="00D31E87" w:rsidRPr="005D0B8C" w:rsidRDefault="0071204D" w:rsidP="002B1CAA">
      <w:pPr>
        <w:pStyle w:val="Prrafodelista"/>
        <w:numPr>
          <w:ilvl w:val="0"/>
          <w:numId w:val="17"/>
        </w:numPr>
        <w:spacing w:line="360" w:lineRule="auto"/>
        <w:jc w:val="both"/>
        <w:rPr>
          <w:rFonts w:ascii="Palatino Linotype" w:hAnsi="Palatino Linotype"/>
          <w:color w:val="000000" w:themeColor="text1"/>
          <w:sz w:val="24"/>
          <w:szCs w:val="24"/>
        </w:rPr>
      </w:pPr>
      <w:r w:rsidRPr="005D0B8C">
        <w:rPr>
          <w:rFonts w:ascii="Palatino Linotype" w:hAnsi="Palatino Linotype"/>
          <w:color w:val="000000" w:themeColor="text1"/>
          <w:sz w:val="24"/>
          <w:szCs w:val="24"/>
        </w:rPr>
        <w:t>Al respecto, emit</w:t>
      </w:r>
      <w:r w:rsidR="00381DDA" w:rsidRPr="005D0B8C">
        <w:rPr>
          <w:rFonts w:ascii="Palatino Linotype" w:hAnsi="Palatino Linotype"/>
          <w:color w:val="000000" w:themeColor="text1"/>
          <w:sz w:val="24"/>
          <w:szCs w:val="24"/>
        </w:rPr>
        <w:t>im</w:t>
      </w:r>
      <w:r w:rsidRPr="005D0B8C">
        <w:rPr>
          <w:rFonts w:ascii="Palatino Linotype" w:hAnsi="Palatino Linotype"/>
          <w:color w:val="000000" w:themeColor="text1"/>
          <w:sz w:val="24"/>
          <w:szCs w:val="24"/>
        </w:rPr>
        <w:t>o</w:t>
      </w:r>
      <w:r w:rsidR="00381DDA" w:rsidRPr="005D0B8C">
        <w:rPr>
          <w:rFonts w:ascii="Palatino Linotype" w:hAnsi="Palatino Linotype"/>
          <w:color w:val="000000" w:themeColor="text1"/>
          <w:sz w:val="24"/>
          <w:szCs w:val="24"/>
        </w:rPr>
        <w:t>s</w:t>
      </w:r>
      <w:r w:rsidRPr="005D0B8C">
        <w:rPr>
          <w:rFonts w:ascii="Palatino Linotype" w:hAnsi="Palatino Linotype"/>
          <w:color w:val="000000" w:themeColor="text1"/>
          <w:sz w:val="24"/>
          <w:szCs w:val="24"/>
        </w:rPr>
        <w:t xml:space="preserve"> la presente opinión </w:t>
      </w:r>
      <w:r w:rsidR="006A2AF7" w:rsidRPr="005D0B8C">
        <w:rPr>
          <w:rFonts w:ascii="Palatino Linotype" w:hAnsi="Palatino Linotype"/>
          <w:color w:val="000000" w:themeColor="text1"/>
          <w:sz w:val="24"/>
          <w:szCs w:val="24"/>
        </w:rPr>
        <w:t>particular, en virtud de</w:t>
      </w:r>
      <w:r w:rsidRPr="005D0B8C">
        <w:rPr>
          <w:rFonts w:ascii="Palatino Linotype" w:hAnsi="Palatino Linotype"/>
          <w:color w:val="000000" w:themeColor="text1"/>
          <w:sz w:val="24"/>
          <w:szCs w:val="24"/>
        </w:rPr>
        <w:t xml:space="preserve"> </w:t>
      </w:r>
      <w:r w:rsidR="00381DDA" w:rsidRPr="005D0B8C">
        <w:rPr>
          <w:rFonts w:ascii="Palatino Linotype" w:hAnsi="Palatino Linotype"/>
          <w:color w:val="000000" w:themeColor="text1"/>
          <w:sz w:val="24"/>
          <w:szCs w:val="24"/>
        </w:rPr>
        <w:t xml:space="preserve">que si bien es cierto compartimos el sentido adoptado, </w:t>
      </w:r>
      <w:r w:rsidRPr="005D0B8C">
        <w:rPr>
          <w:rFonts w:ascii="Palatino Linotype" w:hAnsi="Palatino Linotype"/>
          <w:color w:val="000000" w:themeColor="text1"/>
          <w:sz w:val="24"/>
          <w:szCs w:val="24"/>
        </w:rPr>
        <w:t xml:space="preserve">no </w:t>
      </w:r>
      <w:r w:rsidR="00381DDA" w:rsidRPr="005D0B8C">
        <w:rPr>
          <w:rFonts w:ascii="Palatino Linotype" w:hAnsi="Palatino Linotype"/>
          <w:color w:val="000000" w:themeColor="text1"/>
          <w:sz w:val="24"/>
          <w:szCs w:val="24"/>
        </w:rPr>
        <w:t>acompañamos en su totalidad el</w:t>
      </w:r>
      <w:r w:rsidRPr="005D0B8C">
        <w:rPr>
          <w:rFonts w:ascii="Palatino Linotype" w:hAnsi="Palatino Linotype"/>
          <w:color w:val="000000" w:themeColor="text1"/>
          <w:sz w:val="24"/>
          <w:szCs w:val="24"/>
        </w:rPr>
        <w:t xml:space="preserve"> </w:t>
      </w:r>
      <w:r w:rsidR="00381DDA" w:rsidRPr="005D0B8C">
        <w:rPr>
          <w:rFonts w:ascii="Palatino Linotype" w:hAnsi="Palatino Linotype"/>
          <w:color w:val="000000" w:themeColor="text1"/>
          <w:sz w:val="24"/>
          <w:szCs w:val="24"/>
        </w:rPr>
        <w:lastRenderedPageBreak/>
        <w:t xml:space="preserve">estudio desarrollado por la Ponencia </w:t>
      </w:r>
      <w:proofErr w:type="spellStart"/>
      <w:r w:rsidR="00381DDA" w:rsidRPr="005D0B8C">
        <w:rPr>
          <w:rFonts w:ascii="Palatino Linotype" w:hAnsi="Palatino Linotype"/>
          <w:color w:val="000000" w:themeColor="text1"/>
          <w:sz w:val="24"/>
          <w:szCs w:val="24"/>
        </w:rPr>
        <w:t>resolutora</w:t>
      </w:r>
      <w:proofErr w:type="spellEnd"/>
      <w:r w:rsidR="00381DDA" w:rsidRPr="005D0B8C">
        <w:rPr>
          <w:rFonts w:ascii="Palatino Linotype" w:hAnsi="Palatino Linotype"/>
          <w:color w:val="000000" w:themeColor="text1"/>
          <w:sz w:val="24"/>
          <w:szCs w:val="24"/>
        </w:rPr>
        <w:t xml:space="preserve"> </w:t>
      </w:r>
      <w:r w:rsidR="00506287">
        <w:rPr>
          <w:rFonts w:ascii="Palatino Linotype" w:hAnsi="Palatino Linotype"/>
          <w:color w:val="000000" w:themeColor="text1"/>
          <w:sz w:val="24"/>
          <w:szCs w:val="24"/>
        </w:rPr>
        <w:t>en el</w:t>
      </w:r>
      <w:r w:rsidR="00381DDA" w:rsidRPr="005D0B8C">
        <w:rPr>
          <w:rFonts w:ascii="Palatino Linotype" w:hAnsi="Palatino Linotype"/>
          <w:color w:val="000000" w:themeColor="text1"/>
          <w:sz w:val="24"/>
          <w:szCs w:val="24"/>
        </w:rPr>
        <w:t xml:space="preserve"> recurso </w:t>
      </w:r>
      <w:r w:rsidR="00506287">
        <w:rPr>
          <w:rFonts w:ascii="Palatino Linotype" w:hAnsi="Palatino Linotype"/>
          <w:color w:val="000000" w:themeColor="text1"/>
          <w:sz w:val="24"/>
          <w:szCs w:val="24"/>
        </w:rPr>
        <w:t xml:space="preserve">de revisión </w:t>
      </w:r>
      <w:r w:rsidR="00381DDA" w:rsidRPr="005D0B8C">
        <w:rPr>
          <w:rFonts w:ascii="Palatino Linotype" w:hAnsi="Palatino Linotype"/>
          <w:color w:val="000000" w:themeColor="text1"/>
          <w:sz w:val="24"/>
          <w:szCs w:val="24"/>
        </w:rPr>
        <w:t>de referencia</w:t>
      </w:r>
      <w:r w:rsidR="00D62D08" w:rsidRPr="005D0B8C">
        <w:rPr>
          <w:rFonts w:ascii="Palatino Linotype" w:hAnsi="Palatino Linotype"/>
          <w:color w:val="000000" w:themeColor="text1"/>
          <w:sz w:val="24"/>
          <w:szCs w:val="24"/>
        </w:rPr>
        <w:t xml:space="preserve">. </w:t>
      </w:r>
      <w:r w:rsidR="00D31E87" w:rsidRPr="005D0B8C">
        <w:rPr>
          <w:rFonts w:ascii="Palatino Linotype" w:hAnsi="Palatino Linotype"/>
          <w:color w:val="000000" w:themeColor="text1"/>
          <w:sz w:val="24"/>
          <w:szCs w:val="24"/>
        </w:rPr>
        <w:t>Por tal motivo y en términos de lo señalado por el artículo 14 fracción XI del Reglamento Interior del Instituto de Transparencia y Acceso a la Información Pública del Estado de México y Municipios formulo la presente opinión particular.</w:t>
      </w:r>
    </w:p>
    <w:p w:rsidR="001C572F" w:rsidRPr="005D0B8C" w:rsidRDefault="001C572F" w:rsidP="001C572F">
      <w:pPr>
        <w:pStyle w:val="Prrafodelista"/>
        <w:spacing w:line="360" w:lineRule="auto"/>
        <w:ind w:left="360"/>
        <w:jc w:val="both"/>
        <w:rPr>
          <w:rFonts w:ascii="Palatino Linotype" w:hAnsi="Palatino Linotype"/>
          <w:color w:val="000000" w:themeColor="text1"/>
          <w:sz w:val="24"/>
          <w:szCs w:val="24"/>
        </w:rPr>
      </w:pPr>
    </w:p>
    <w:p w:rsidR="00D31E87" w:rsidRPr="005D0B8C" w:rsidRDefault="00F81714" w:rsidP="005F5D83">
      <w:pPr>
        <w:pStyle w:val="Ttulo1"/>
        <w:numPr>
          <w:ilvl w:val="0"/>
          <w:numId w:val="38"/>
        </w:numPr>
        <w:ind w:hanging="294"/>
        <w:rPr>
          <w:rFonts w:ascii="Palatino Linotype" w:hAnsi="Palatino Linotype"/>
          <w:b/>
          <w:color w:val="000000" w:themeColor="text1"/>
          <w:sz w:val="24"/>
          <w:szCs w:val="24"/>
        </w:rPr>
      </w:pPr>
      <w:bookmarkStart w:id="1" w:name="_Toc524358247"/>
      <w:r w:rsidRPr="005D0B8C">
        <w:rPr>
          <w:rFonts w:ascii="Palatino Linotype" w:hAnsi="Palatino Linotype"/>
          <w:b/>
          <w:color w:val="000000" w:themeColor="text1"/>
          <w:sz w:val="24"/>
          <w:szCs w:val="24"/>
        </w:rPr>
        <w:t>De la resolución emitida al recurso de revisión</w:t>
      </w:r>
      <w:r w:rsidR="005F5D83" w:rsidRPr="005D0B8C">
        <w:rPr>
          <w:rFonts w:ascii="Palatino Linotype" w:hAnsi="Palatino Linotype"/>
          <w:b/>
          <w:color w:val="000000" w:themeColor="text1"/>
          <w:sz w:val="24"/>
          <w:szCs w:val="24"/>
        </w:rPr>
        <w:t xml:space="preserve"> </w:t>
      </w:r>
      <w:r w:rsidR="00381DDA" w:rsidRPr="005D0B8C">
        <w:rPr>
          <w:rFonts w:ascii="Palatino Linotype" w:hAnsi="Palatino Linotype"/>
          <w:b/>
          <w:color w:val="000000" w:themeColor="text1"/>
          <w:sz w:val="24"/>
          <w:szCs w:val="24"/>
        </w:rPr>
        <w:t>2562/INFOEM/IP/RR/2018</w:t>
      </w:r>
      <w:r w:rsidR="005F5D83" w:rsidRPr="005D0B8C">
        <w:rPr>
          <w:rFonts w:ascii="Palatino Linotype" w:hAnsi="Palatino Linotype"/>
          <w:b/>
          <w:color w:val="000000" w:themeColor="text1"/>
          <w:sz w:val="24"/>
          <w:szCs w:val="24"/>
        </w:rPr>
        <w:t>.</w:t>
      </w:r>
      <w:bookmarkEnd w:id="1"/>
    </w:p>
    <w:p w:rsidR="00D31E87" w:rsidRPr="005D0B8C" w:rsidRDefault="00D31E87" w:rsidP="00D31E87">
      <w:pPr>
        <w:pStyle w:val="Prrafodelista"/>
        <w:spacing w:line="360" w:lineRule="auto"/>
        <w:ind w:left="1080"/>
        <w:jc w:val="both"/>
        <w:rPr>
          <w:rFonts w:ascii="Palatino Linotype" w:hAnsi="Palatino Linotype"/>
          <w:b/>
          <w:color w:val="000000" w:themeColor="text1"/>
          <w:sz w:val="24"/>
          <w:szCs w:val="24"/>
        </w:rPr>
      </w:pPr>
    </w:p>
    <w:p w:rsidR="00381DDA" w:rsidRPr="005D0B8C" w:rsidRDefault="006A2AF7" w:rsidP="00381DDA">
      <w:pPr>
        <w:pStyle w:val="Prrafodelista"/>
        <w:numPr>
          <w:ilvl w:val="0"/>
          <w:numId w:val="17"/>
        </w:numPr>
        <w:spacing w:line="360" w:lineRule="auto"/>
        <w:jc w:val="both"/>
        <w:rPr>
          <w:rFonts w:ascii="Palatino Linotype" w:hAnsi="Palatino Linotype" w:cs="Arial"/>
          <w:sz w:val="24"/>
          <w:szCs w:val="24"/>
        </w:rPr>
      </w:pPr>
      <w:r w:rsidRPr="005D0B8C">
        <w:rPr>
          <w:rFonts w:ascii="Palatino Linotype" w:hAnsi="Palatino Linotype"/>
          <w:color w:val="000000" w:themeColor="text1"/>
          <w:sz w:val="24"/>
          <w:szCs w:val="24"/>
        </w:rPr>
        <w:t xml:space="preserve">En su momento, la </w:t>
      </w:r>
      <w:r w:rsidR="0014513D" w:rsidRPr="005D0B8C">
        <w:rPr>
          <w:rFonts w:ascii="Palatino Linotype" w:hAnsi="Palatino Linotype"/>
          <w:color w:val="000000" w:themeColor="text1"/>
          <w:sz w:val="24"/>
          <w:szCs w:val="24"/>
        </w:rPr>
        <w:t>P</w:t>
      </w:r>
      <w:r w:rsidRPr="005D0B8C">
        <w:rPr>
          <w:rFonts w:ascii="Palatino Linotype" w:hAnsi="Palatino Linotype"/>
          <w:color w:val="000000" w:themeColor="text1"/>
          <w:sz w:val="24"/>
          <w:szCs w:val="24"/>
        </w:rPr>
        <w:t xml:space="preserve">onencia </w:t>
      </w:r>
      <w:proofErr w:type="spellStart"/>
      <w:r w:rsidR="0014513D" w:rsidRPr="005D0B8C">
        <w:rPr>
          <w:rFonts w:ascii="Palatino Linotype" w:hAnsi="Palatino Linotype"/>
          <w:color w:val="000000" w:themeColor="text1"/>
          <w:sz w:val="24"/>
          <w:szCs w:val="24"/>
        </w:rPr>
        <w:t>R</w:t>
      </w:r>
      <w:r w:rsidRPr="005D0B8C">
        <w:rPr>
          <w:rFonts w:ascii="Palatino Linotype" w:hAnsi="Palatino Linotype"/>
          <w:color w:val="000000" w:themeColor="text1"/>
          <w:sz w:val="24"/>
          <w:szCs w:val="24"/>
        </w:rPr>
        <w:t>esolutora</w:t>
      </w:r>
      <w:proofErr w:type="spellEnd"/>
      <w:r w:rsidRPr="005D0B8C">
        <w:rPr>
          <w:rFonts w:ascii="Palatino Linotype" w:hAnsi="Palatino Linotype"/>
          <w:color w:val="000000" w:themeColor="text1"/>
          <w:sz w:val="24"/>
          <w:szCs w:val="24"/>
        </w:rPr>
        <w:t>, advirtió que</w:t>
      </w:r>
      <w:r w:rsidR="00381DDA" w:rsidRPr="005D0B8C">
        <w:rPr>
          <w:rFonts w:ascii="Palatino Linotype" w:hAnsi="Palatino Linotype"/>
          <w:color w:val="000000" w:themeColor="text1"/>
          <w:sz w:val="24"/>
          <w:szCs w:val="24"/>
        </w:rPr>
        <w:t xml:space="preserve"> resultaba</w:t>
      </w:r>
      <w:r w:rsidRPr="005D0B8C">
        <w:rPr>
          <w:rFonts w:ascii="Palatino Linotype" w:hAnsi="Palatino Linotype"/>
          <w:color w:val="000000" w:themeColor="text1"/>
          <w:sz w:val="24"/>
          <w:szCs w:val="24"/>
        </w:rPr>
        <w:t xml:space="preserve"> </w:t>
      </w:r>
      <w:r w:rsidR="00381DDA" w:rsidRPr="005D0B8C">
        <w:rPr>
          <w:rFonts w:ascii="Palatino Linotype" w:eastAsia="MS Mincho" w:hAnsi="Palatino Linotype" w:cs="Bookman Old Style"/>
          <w:sz w:val="24"/>
          <w:szCs w:val="24"/>
          <w:lang w:eastAsia="es-MX"/>
        </w:rPr>
        <w:t>pertinente enfatizar que si bien el Sujeto Obligado posee los exámenes que como tiempo completo fueron aplicados por la Maestra que se refiere en su solicitud; lo cierto es que,</w:t>
      </w:r>
      <w:r w:rsidR="00381DDA" w:rsidRPr="005D0B8C">
        <w:rPr>
          <w:rFonts w:ascii="Palatino Linotype" w:hAnsi="Palatino Linotype" w:cs="Arial"/>
          <w:sz w:val="24"/>
          <w:szCs w:val="24"/>
        </w:rPr>
        <w:t xml:space="preserve"> el derecho de acceso a la información pública tiene como limitante el respeto a la intimidad y a la vida privada de las personas, y que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5B1011" w:rsidRPr="005D0B8C" w:rsidRDefault="005B1011" w:rsidP="005B1011">
      <w:pPr>
        <w:pStyle w:val="Prrafodelista"/>
        <w:spacing w:line="360" w:lineRule="auto"/>
        <w:ind w:left="360"/>
        <w:jc w:val="both"/>
        <w:rPr>
          <w:rFonts w:ascii="Palatino Linotype" w:hAnsi="Palatino Linotype" w:cs="Arial"/>
          <w:sz w:val="24"/>
          <w:szCs w:val="24"/>
        </w:rPr>
      </w:pPr>
    </w:p>
    <w:p w:rsidR="005B1011" w:rsidRPr="005D0B8C" w:rsidRDefault="005B1011" w:rsidP="005B1011">
      <w:pPr>
        <w:pStyle w:val="Prrafodelista"/>
        <w:numPr>
          <w:ilvl w:val="0"/>
          <w:numId w:val="17"/>
        </w:numPr>
        <w:spacing w:line="360" w:lineRule="auto"/>
        <w:jc w:val="both"/>
        <w:rPr>
          <w:rFonts w:ascii="Palatino Linotype" w:eastAsia="MS Mincho" w:hAnsi="Palatino Linotype"/>
          <w:sz w:val="24"/>
          <w:szCs w:val="24"/>
          <w:lang w:val="es-ES_tradnl"/>
        </w:rPr>
      </w:pPr>
      <w:r w:rsidRPr="005D0B8C">
        <w:rPr>
          <w:rFonts w:ascii="Palatino Linotype" w:hAnsi="Palatino Linotype"/>
          <w:color w:val="000000" w:themeColor="text1"/>
          <w:sz w:val="24"/>
          <w:szCs w:val="24"/>
        </w:rPr>
        <w:t xml:space="preserve">En ese tenor, se concluyó que </w:t>
      </w:r>
      <w:r w:rsidRPr="005D0B8C">
        <w:rPr>
          <w:rFonts w:ascii="Palatino Linotype" w:hAnsi="Palatino Linotype" w:cs="Arial"/>
          <w:sz w:val="24"/>
          <w:szCs w:val="24"/>
        </w:rPr>
        <w:t xml:space="preserve">los exámenes solicitados por el particular, contienen </w:t>
      </w:r>
      <w:r w:rsidRPr="005D0B8C">
        <w:rPr>
          <w:rFonts w:ascii="Palatino Linotype" w:eastAsia="MS Mincho" w:hAnsi="Palatino Linotype"/>
          <w:sz w:val="24"/>
          <w:szCs w:val="24"/>
          <w:lang w:val="es-ES_tradnl"/>
        </w:rPr>
        <w:t xml:space="preserve">datos personales concernientes a la capacidad intelectual de las personas sometidas a éstos y al no aportar elementos de utilidad de acceso a la información pública, ni a la rendición de cuentas, entonces este Órgano Garante </w:t>
      </w:r>
      <w:r w:rsidRPr="005D0B8C">
        <w:rPr>
          <w:rFonts w:ascii="Palatino Linotype" w:eastAsia="MS Mincho" w:hAnsi="Palatino Linotype"/>
          <w:sz w:val="24"/>
          <w:szCs w:val="24"/>
          <w:lang w:val="es-ES_tradnl"/>
        </w:rPr>
        <w:lastRenderedPageBreak/>
        <w:t xml:space="preserve">debe determinar que no es procedente la entrega de los mismos, por lo que entonces el </w:t>
      </w:r>
      <w:r w:rsidR="00506287" w:rsidRPr="005D0B8C">
        <w:rPr>
          <w:rFonts w:ascii="Palatino Linotype" w:eastAsia="MS Mincho" w:hAnsi="Palatino Linotype"/>
          <w:sz w:val="24"/>
          <w:szCs w:val="24"/>
          <w:lang w:val="es-ES_tradnl"/>
        </w:rPr>
        <w:t>Sujeto Obligado</w:t>
      </w:r>
      <w:r w:rsidR="00506287" w:rsidRPr="005D0B8C">
        <w:rPr>
          <w:rFonts w:ascii="Palatino Linotype" w:eastAsia="MS Mincho" w:hAnsi="Palatino Linotype"/>
          <w:b/>
          <w:sz w:val="24"/>
          <w:szCs w:val="24"/>
          <w:lang w:val="es-ES_tradnl"/>
        </w:rPr>
        <w:t xml:space="preserve"> </w:t>
      </w:r>
      <w:r w:rsidRPr="005D0B8C">
        <w:rPr>
          <w:rFonts w:ascii="Palatino Linotype" w:eastAsia="MS Mincho" w:hAnsi="Palatino Linotype"/>
          <w:sz w:val="24"/>
          <w:szCs w:val="24"/>
          <w:lang w:val="es-ES_tradnl"/>
        </w:rPr>
        <w:t>deberá clasificar dicha información como confidencial.</w:t>
      </w:r>
    </w:p>
    <w:p w:rsidR="00B17B9D" w:rsidRPr="005D0B8C" w:rsidRDefault="00B17B9D" w:rsidP="00B17B9D">
      <w:pPr>
        <w:pStyle w:val="Prrafodelista"/>
        <w:rPr>
          <w:rFonts w:ascii="Palatino Linotype" w:hAnsi="Palatino Linotype"/>
          <w:color w:val="000000" w:themeColor="text1"/>
          <w:sz w:val="24"/>
          <w:szCs w:val="24"/>
        </w:rPr>
      </w:pPr>
    </w:p>
    <w:p w:rsidR="005B1011" w:rsidRPr="005D0B8C" w:rsidRDefault="005B1011" w:rsidP="00294356">
      <w:pPr>
        <w:pStyle w:val="Prrafodelista"/>
        <w:numPr>
          <w:ilvl w:val="0"/>
          <w:numId w:val="17"/>
        </w:numPr>
        <w:spacing w:line="360" w:lineRule="auto"/>
        <w:jc w:val="both"/>
        <w:rPr>
          <w:rFonts w:ascii="Palatino Linotype" w:hAnsi="Palatino Linotype"/>
          <w:color w:val="000000" w:themeColor="text1"/>
          <w:sz w:val="24"/>
          <w:szCs w:val="24"/>
        </w:rPr>
      </w:pPr>
      <w:r w:rsidRPr="005D0B8C">
        <w:rPr>
          <w:rFonts w:ascii="Palatino Linotype" w:hAnsi="Palatino Linotype"/>
          <w:color w:val="000000" w:themeColor="text1"/>
          <w:sz w:val="24"/>
          <w:szCs w:val="24"/>
        </w:rPr>
        <w:t>Fundamentando la</w:t>
      </w:r>
      <w:r w:rsidRPr="005D0B8C">
        <w:rPr>
          <w:rFonts w:ascii="Palatino Linotype" w:eastAsia="Calibri" w:hAnsi="Palatino Linotype" w:cs="Arial"/>
          <w:sz w:val="24"/>
          <w:szCs w:val="24"/>
          <w:lang w:val="es-ES" w:eastAsia="es-MX"/>
        </w:rPr>
        <w:t xml:space="preserve"> procedencia de la clasificación de la información, de conformidad con lo </w:t>
      </w:r>
      <w:r w:rsidRPr="005D0B8C">
        <w:rPr>
          <w:rFonts w:ascii="Palatino Linotype" w:hAnsi="Palatino Linotype" w:cs="Arial"/>
          <w:sz w:val="24"/>
          <w:szCs w:val="24"/>
        </w:rPr>
        <w:t xml:space="preserve">dispuesto en los artículos 3, fracciones IX, XX y XXI y 91 de la Ley de Transparencia y Acceso a la Información Pública del Estado de México y Municipios, transcritos en la resolución de </w:t>
      </w:r>
      <w:r w:rsidR="00506287">
        <w:rPr>
          <w:rFonts w:ascii="Palatino Linotype" w:hAnsi="Palatino Linotype" w:cs="Arial"/>
          <w:sz w:val="24"/>
          <w:szCs w:val="24"/>
        </w:rPr>
        <w:t>referencia</w:t>
      </w:r>
      <w:r w:rsidRPr="005D0B8C">
        <w:rPr>
          <w:rFonts w:ascii="Palatino Linotype" w:hAnsi="Palatino Linotype" w:cs="Arial"/>
          <w:sz w:val="24"/>
          <w:szCs w:val="24"/>
        </w:rPr>
        <w:t>.</w:t>
      </w:r>
    </w:p>
    <w:p w:rsidR="005B1011" w:rsidRPr="005D0B8C" w:rsidRDefault="005B1011" w:rsidP="005B1011">
      <w:pPr>
        <w:pStyle w:val="Prrafodelista"/>
        <w:rPr>
          <w:rFonts w:ascii="Palatino Linotype" w:hAnsi="Palatino Linotype"/>
          <w:color w:val="000000" w:themeColor="text1"/>
          <w:sz w:val="24"/>
          <w:szCs w:val="24"/>
        </w:rPr>
      </w:pPr>
    </w:p>
    <w:p w:rsidR="005B1011" w:rsidRPr="005D0B8C" w:rsidRDefault="005B1011"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hAnsi="Palatino Linotype" w:cs="Arial"/>
          <w:sz w:val="24"/>
          <w:szCs w:val="24"/>
        </w:rPr>
        <w:t xml:space="preserve">Contexto que ciertamente compartimos, no obstante </w:t>
      </w:r>
      <w:r w:rsidR="005D0B8C">
        <w:rPr>
          <w:rFonts w:ascii="Palatino Linotype" w:hAnsi="Palatino Linotype" w:cs="Arial"/>
          <w:sz w:val="24"/>
          <w:szCs w:val="24"/>
        </w:rPr>
        <w:t xml:space="preserve">consideramos </w:t>
      </w:r>
      <w:r w:rsidR="00F60406">
        <w:rPr>
          <w:rFonts w:ascii="Palatino Linotype" w:hAnsi="Palatino Linotype" w:cs="Arial"/>
          <w:sz w:val="24"/>
          <w:szCs w:val="24"/>
        </w:rPr>
        <w:t xml:space="preserve">la resolución debió desarrollar </w:t>
      </w:r>
      <w:r w:rsidR="00F60406" w:rsidRPr="005D0B8C">
        <w:rPr>
          <w:rFonts w:ascii="Palatino Linotype" w:hAnsi="Palatino Linotype" w:cs="Arial"/>
          <w:sz w:val="24"/>
          <w:szCs w:val="24"/>
        </w:rPr>
        <w:t xml:space="preserve"> la </w:t>
      </w:r>
      <w:r w:rsidRPr="005D0B8C">
        <w:rPr>
          <w:rFonts w:ascii="Palatino Linotype" w:hAnsi="Palatino Linotype" w:cs="Arial"/>
          <w:sz w:val="24"/>
          <w:szCs w:val="24"/>
        </w:rPr>
        <w:t xml:space="preserve">prueba de interés publico </w:t>
      </w:r>
      <w:r w:rsidRPr="005D0B8C">
        <w:rPr>
          <w:rFonts w:ascii="Palatino Linotype" w:eastAsiaTheme="minorEastAsia" w:hAnsi="Palatino Linotype"/>
          <w:sz w:val="24"/>
          <w:szCs w:val="24"/>
          <w:lang w:val="es-ES_tradnl" w:eastAsia="es-ES"/>
        </w:rPr>
        <w:t xml:space="preserve">prevista en el último párrafo del artículo 148 de la ley de la materia, </w:t>
      </w:r>
      <w:r w:rsidRPr="00506287">
        <w:rPr>
          <w:rFonts w:ascii="Palatino Linotype" w:eastAsiaTheme="minorEastAsia" w:hAnsi="Palatino Linotype"/>
          <w:sz w:val="24"/>
          <w:szCs w:val="24"/>
          <w:lang w:val="es-ES_tradnl" w:eastAsia="es-ES"/>
        </w:rPr>
        <w:t>que tiene como finalidad determinar si resulta procedente o no la entrega de la información</w:t>
      </w:r>
      <w:r w:rsidRPr="005D0B8C">
        <w:rPr>
          <w:rFonts w:ascii="Palatino Linotype" w:eastAsiaTheme="minorEastAsia" w:hAnsi="Palatino Linotype"/>
          <w:sz w:val="24"/>
          <w:szCs w:val="24"/>
          <w:lang w:val="es-ES_tradnl" w:eastAsia="es-ES"/>
        </w:rPr>
        <w:t>; el artículo en cita señala de manera clara lo siguiente:</w:t>
      </w:r>
    </w:p>
    <w:p w:rsidR="005B1011" w:rsidRPr="005D0B8C" w:rsidRDefault="005B1011" w:rsidP="005B1011">
      <w:pPr>
        <w:pStyle w:val="Prrafodelista"/>
        <w:spacing w:line="360" w:lineRule="auto"/>
        <w:jc w:val="both"/>
        <w:rPr>
          <w:rFonts w:ascii="Palatino Linotype" w:hAnsi="Palatino Linotype"/>
          <w:i/>
          <w:sz w:val="24"/>
          <w:szCs w:val="24"/>
        </w:rPr>
      </w:pPr>
      <w:r w:rsidRPr="005D0B8C">
        <w:rPr>
          <w:rFonts w:ascii="Palatino Linotype" w:hAnsi="Palatino Linotype"/>
          <w:b/>
          <w:bCs/>
          <w:i/>
          <w:sz w:val="24"/>
          <w:szCs w:val="24"/>
        </w:rPr>
        <w:t xml:space="preserve">I. </w:t>
      </w:r>
      <w:r w:rsidRPr="005D0B8C">
        <w:rPr>
          <w:rFonts w:ascii="Palatino Linotype" w:hAnsi="Palatino Linotype"/>
          <w:i/>
          <w:sz w:val="24"/>
          <w:szCs w:val="24"/>
        </w:rPr>
        <w:t>La información se encuentre en registros públicos o fuentes de acceso público;</w:t>
      </w:r>
    </w:p>
    <w:p w:rsidR="005B1011" w:rsidRPr="005D0B8C" w:rsidRDefault="005B1011" w:rsidP="005B1011">
      <w:pPr>
        <w:pStyle w:val="Prrafodelista"/>
        <w:spacing w:line="360" w:lineRule="auto"/>
        <w:jc w:val="both"/>
        <w:rPr>
          <w:rFonts w:ascii="Palatino Linotype" w:hAnsi="Palatino Linotype"/>
          <w:i/>
          <w:sz w:val="24"/>
          <w:szCs w:val="24"/>
        </w:rPr>
      </w:pPr>
      <w:r w:rsidRPr="005D0B8C">
        <w:rPr>
          <w:rFonts w:ascii="Palatino Linotype" w:hAnsi="Palatino Linotype"/>
          <w:b/>
          <w:bCs/>
          <w:i/>
          <w:sz w:val="24"/>
          <w:szCs w:val="24"/>
        </w:rPr>
        <w:t xml:space="preserve">II. </w:t>
      </w:r>
      <w:r w:rsidRPr="005D0B8C">
        <w:rPr>
          <w:rFonts w:ascii="Palatino Linotype" w:hAnsi="Palatino Linotype"/>
          <w:i/>
          <w:sz w:val="24"/>
          <w:szCs w:val="24"/>
        </w:rPr>
        <w:t>Por Ley tenga el carácter de pública;</w:t>
      </w:r>
    </w:p>
    <w:p w:rsidR="005B1011" w:rsidRPr="005D0B8C" w:rsidRDefault="005B1011" w:rsidP="005B1011">
      <w:pPr>
        <w:pStyle w:val="Prrafodelista"/>
        <w:spacing w:line="360" w:lineRule="auto"/>
        <w:jc w:val="both"/>
        <w:rPr>
          <w:rFonts w:ascii="Palatino Linotype" w:hAnsi="Palatino Linotype"/>
          <w:i/>
          <w:sz w:val="24"/>
          <w:szCs w:val="24"/>
        </w:rPr>
      </w:pPr>
      <w:r w:rsidRPr="005D0B8C">
        <w:rPr>
          <w:rFonts w:ascii="Palatino Linotype" w:hAnsi="Palatino Linotype"/>
          <w:b/>
          <w:bCs/>
          <w:i/>
          <w:sz w:val="24"/>
          <w:szCs w:val="24"/>
        </w:rPr>
        <w:t xml:space="preserve">III. </w:t>
      </w:r>
      <w:r w:rsidRPr="005D0B8C">
        <w:rPr>
          <w:rFonts w:ascii="Palatino Linotype" w:hAnsi="Palatino Linotype"/>
          <w:i/>
          <w:sz w:val="24"/>
          <w:szCs w:val="24"/>
        </w:rPr>
        <w:t>Exista una orden judicial;</w:t>
      </w:r>
    </w:p>
    <w:p w:rsidR="005B1011" w:rsidRPr="005D0B8C" w:rsidRDefault="005B1011" w:rsidP="005B1011">
      <w:pPr>
        <w:pStyle w:val="Prrafodelista"/>
        <w:spacing w:line="360" w:lineRule="auto"/>
        <w:jc w:val="both"/>
        <w:rPr>
          <w:rFonts w:ascii="Palatino Linotype" w:hAnsi="Palatino Linotype"/>
          <w:i/>
          <w:sz w:val="24"/>
          <w:szCs w:val="24"/>
        </w:rPr>
      </w:pPr>
      <w:r w:rsidRPr="005D0B8C">
        <w:rPr>
          <w:rFonts w:ascii="Palatino Linotype" w:hAnsi="Palatino Linotype"/>
          <w:b/>
          <w:bCs/>
          <w:i/>
          <w:sz w:val="24"/>
          <w:szCs w:val="24"/>
        </w:rPr>
        <w:t xml:space="preserve">IV. </w:t>
      </w:r>
      <w:r w:rsidRPr="005D0B8C">
        <w:rPr>
          <w:rFonts w:ascii="Palatino Linotype" w:hAnsi="Palatino Linotype"/>
          <w:i/>
          <w:sz w:val="24"/>
          <w:szCs w:val="24"/>
        </w:rPr>
        <w:t>Por razones de seguridad pública, o para proteger los derechos de terceros, se requiera su publicación; o</w:t>
      </w:r>
    </w:p>
    <w:p w:rsidR="005B1011" w:rsidRPr="005D0B8C" w:rsidRDefault="005B1011" w:rsidP="005B1011">
      <w:pPr>
        <w:pStyle w:val="Prrafodelista"/>
        <w:spacing w:line="360" w:lineRule="auto"/>
        <w:jc w:val="both"/>
        <w:rPr>
          <w:rFonts w:ascii="Palatino Linotype" w:hAnsi="Palatino Linotype"/>
          <w:i/>
          <w:sz w:val="24"/>
          <w:szCs w:val="24"/>
        </w:rPr>
      </w:pPr>
      <w:r w:rsidRPr="005D0B8C">
        <w:rPr>
          <w:rFonts w:ascii="Palatino Linotype" w:hAnsi="Palatino Linotype"/>
          <w:b/>
          <w:bCs/>
          <w:i/>
          <w:sz w:val="24"/>
          <w:szCs w:val="24"/>
        </w:rPr>
        <w:t xml:space="preserve">V. </w:t>
      </w:r>
      <w:r w:rsidRPr="005D0B8C">
        <w:rPr>
          <w:rFonts w:ascii="Palatino Linotype" w:hAnsi="Palatino Linotype"/>
          <w:i/>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5B1011" w:rsidRPr="005D0B8C" w:rsidRDefault="005B1011" w:rsidP="005B1011">
      <w:pPr>
        <w:pStyle w:val="Prrafodelista"/>
        <w:spacing w:line="360" w:lineRule="auto"/>
        <w:jc w:val="both"/>
        <w:rPr>
          <w:rFonts w:ascii="Palatino Linotype" w:hAnsi="Palatino Linotype"/>
          <w:i/>
          <w:sz w:val="24"/>
          <w:szCs w:val="24"/>
        </w:rPr>
      </w:pPr>
    </w:p>
    <w:p w:rsidR="005B1011" w:rsidRPr="005D0B8C" w:rsidRDefault="005B1011" w:rsidP="005B1011">
      <w:pPr>
        <w:pStyle w:val="Prrafodelista"/>
        <w:spacing w:line="360" w:lineRule="auto"/>
        <w:jc w:val="both"/>
        <w:rPr>
          <w:rFonts w:ascii="Palatino Linotype" w:hAnsi="Palatino Linotype"/>
          <w:i/>
          <w:sz w:val="24"/>
          <w:szCs w:val="24"/>
        </w:rPr>
      </w:pPr>
      <w:r w:rsidRPr="005D0B8C">
        <w:rPr>
          <w:rFonts w:ascii="Palatino Linotype" w:hAnsi="Palatino Linotype"/>
          <w:i/>
          <w:sz w:val="24"/>
          <w:szCs w:val="24"/>
        </w:rPr>
        <w:t>Para efectos de la fracción I del presente artículo, deberá sujetarse a lo previsto en las disposiciones jurídicas aplicables.</w:t>
      </w:r>
    </w:p>
    <w:p w:rsidR="005B1011" w:rsidRPr="005D0B8C" w:rsidRDefault="005B1011" w:rsidP="005B1011">
      <w:pPr>
        <w:pStyle w:val="Prrafodelista"/>
        <w:spacing w:line="360" w:lineRule="auto"/>
        <w:jc w:val="both"/>
        <w:rPr>
          <w:rFonts w:ascii="Palatino Linotype" w:hAnsi="Palatino Linotype"/>
          <w:i/>
          <w:sz w:val="24"/>
          <w:szCs w:val="24"/>
        </w:rPr>
      </w:pPr>
    </w:p>
    <w:p w:rsidR="005B1011" w:rsidRPr="005D0B8C" w:rsidRDefault="005B1011" w:rsidP="005B1011">
      <w:pPr>
        <w:pStyle w:val="Prrafodelista"/>
        <w:spacing w:line="360" w:lineRule="auto"/>
        <w:jc w:val="both"/>
        <w:rPr>
          <w:rFonts w:ascii="Palatino Linotype" w:hAnsi="Palatino Linotype"/>
          <w:i/>
          <w:sz w:val="24"/>
          <w:szCs w:val="24"/>
        </w:rPr>
      </w:pPr>
      <w:r w:rsidRPr="00F60406">
        <w:rPr>
          <w:rFonts w:ascii="Palatino Linotype" w:hAnsi="Palatino Linotype"/>
          <w:b/>
          <w:i/>
          <w:sz w:val="24"/>
          <w:szCs w:val="24"/>
        </w:rPr>
        <w:t xml:space="preserve">Para efectos de la fracción IV del presente artículo, el Instituto </w:t>
      </w:r>
      <w:r w:rsidRPr="00F60406">
        <w:rPr>
          <w:rFonts w:ascii="Palatino Linotype" w:hAnsi="Palatino Linotype"/>
          <w:b/>
          <w:i/>
          <w:sz w:val="24"/>
          <w:szCs w:val="24"/>
          <w:u w:val="single"/>
        </w:rPr>
        <w:t>deberá aplicar la prueba de interés público</w:t>
      </w:r>
      <w:r w:rsidRPr="00F60406">
        <w:rPr>
          <w:rFonts w:ascii="Palatino Linotype" w:hAnsi="Palatino Linotype"/>
          <w:b/>
          <w:i/>
          <w:sz w:val="24"/>
          <w:szCs w:val="24"/>
        </w:rPr>
        <w:t>.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r w:rsidRPr="005D0B8C">
        <w:rPr>
          <w:rFonts w:ascii="Palatino Linotype" w:hAnsi="Palatino Linotype"/>
          <w:i/>
          <w:sz w:val="24"/>
          <w:szCs w:val="24"/>
        </w:rPr>
        <w:t>.</w:t>
      </w:r>
    </w:p>
    <w:p w:rsidR="005B1011" w:rsidRPr="005D0B8C" w:rsidRDefault="005B1011" w:rsidP="005B1011">
      <w:pPr>
        <w:pStyle w:val="Prrafodelista"/>
        <w:spacing w:line="360" w:lineRule="auto"/>
        <w:jc w:val="both"/>
        <w:rPr>
          <w:rFonts w:ascii="Palatino Linotype" w:hAnsi="Palatino Linotype"/>
          <w:i/>
          <w:sz w:val="24"/>
          <w:szCs w:val="24"/>
        </w:rPr>
      </w:pPr>
    </w:p>
    <w:p w:rsidR="00B03A5A" w:rsidRPr="005D0B8C" w:rsidRDefault="005B1011"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hAnsi="Palatino Linotype" w:cs="Arial"/>
          <w:sz w:val="24"/>
          <w:szCs w:val="24"/>
        </w:rPr>
        <w:t xml:space="preserve">En razón, que </w:t>
      </w:r>
      <w:r w:rsidRPr="005D0B8C">
        <w:rPr>
          <w:rFonts w:ascii="Palatino Linotype" w:eastAsiaTheme="minorEastAsia" w:hAnsi="Palatino Linotype"/>
          <w:sz w:val="24"/>
          <w:szCs w:val="24"/>
          <w:lang w:val="es-ES_tradnl" w:eastAsia="es-ES"/>
        </w:rPr>
        <w:t>en estos casos se debe corroborar una conexión patente entre la información confidencial y un tema de interés público</w:t>
      </w:r>
      <w:r w:rsidR="00B03A5A" w:rsidRPr="005D0B8C">
        <w:rPr>
          <w:rFonts w:ascii="Palatino Linotype" w:eastAsiaTheme="minorEastAsia" w:hAnsi="Palatino Linotype"/>
          <w:sz w:val="24"/>
          <w:szCs w:val="24"/>
          <w:lang w:val="es-ES_tradnl" w:eastAsia="es-ES"/>
        </w:rPr>
        <w:t>. Por lo que</w:t>
      </w:r>
      <w:r w:rsidRPr="005D0B8C">
        <w:rPr>
          <w:rFonts w:ascii="Palatino Linotype" w:eastAsiaTheme="minorEastAsia" w:hAnsi="Palatino Linotype"/>
          <w:sz w:val="24"/>
          <w:szCs w:val="24"/>
          <w:lang w:val="es-ES_tradnl" w:eastAsia="es-ES"/>
        </w:rPr>
        <w:t xml:space="preserve"> </w:t>
      </w:r>
      <w:r w:rsidR="00B03A5A" w:rsidRPr="005D0B8C">
        <w:rPr>
          <w:rFonts w:ascii="Palatino Linotype" w:eastAsiaTheme="minorEastAsia" w:hAnsi="Palatino Linotype"/>
          <w:sz w:val="24"/>
          <w:szCs w:val="24"/>
          <w:lang w:val="es-ES_tradnl" w:eastAsia="es-ES"/>
        </w:rPr>
        <w:t xml:space="preserve">hace falta determinar, la ponderación a la invasión de la intimidad que ocasionará la divulgación de esa información y el interés público de la información. </w:t>
      </w:r>
    </w:p>
    <w:p w:rsidR="00B03A5A" w:rsidRPr="005D0B8C" w:rsidRDefault="00B03A5A" w:rsidP="00B03A5A">
      <w:pPr>
        <w:spacing w:after="0" w:line="240" w:lineRule="auto"/>
        <w:ind w:left="720"/>
        <w:contextualSpacing/>
        <w:rPr>
          <w:rFonts w:ascii="Palatino Linotype" w:eastAsiaTheme="minorEastAsia" w:hAnsi="Palatino Linotype"/>
          <w:sz w:val="24"/>
          <w:szCs w:val="24"/>
          <w:lang w:val="es-ES_tradnl" w:eastAsia="es-ES"/>
        </w:rPr>
      </w:pPr>
    </w:p>
    <w:p w:rsidR="00B03A5A" w:rsidRPr="005D0B8C" w:rsidRDefault="00B03A5A"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eastAsiaTheme="minorEastAsia" w:hAnsi="Palatino Linotype"/>
          <w:sz w:val="24"/>
          <w:szCs w:val="24"/>
          <w:lang w:val="es-ES_tradnl" w:eastAsia="es-ES"/>
        </w:rPr>
        <w:t xml:space="preserve">Para establecer una correcta ponderación de derechos, </w:t>
      </w:r>
      <w:r w:rsidR="00F60406">
        <w:rPr>
          <w:rFonts w:ascii="Palatino Linotype" w:eastAsiaTheme="minorEastAsia" w:hAnsi="Palatino Linotype"/>
          <w:sz w:val="24"/>
          <w:szCs w:val="24"/>
          <w:lang w:val="es-ES_tradnl" w:eastAsia="es-ES"/>
        </w:rPr>
        <w:t xml:space="preserve">se trae a colación a </w:t>
      </w:r>
      <w:r w:rsidRPr="005D0B8C">
        <w:rPr>
          <w:rFonts w:ascii="Palatino Linotype" w:eastAsiaTheme="minorEastAsia" w:hAnsi="Palatino Linotype"/>
          <w:sz w:val="24"/>
          <w:szCs w:val="24"/>
          <w:lang w:val="es-ES_tradnl" w:eastAsia="es-ES"/>
        </w:rPr>
        <w:t xml:space="preserve">la doctrina y los intérpretes jurisdiccionales, </w:t>
      </w:r>
      <w:r w:rsidR="00F60406">
        <w:rPr>
          <w:rFonts w:ascii="Palatino Linotype" w:eastAsiaTheme="minorEastAsia" w:hAnsi="Palatino Linotype"/>
          <w:sz w:val="24"/>
          <w:szCs w:val="24"/>
          <w:lang w:val="es-ES_tradnl" w:eastAsia="es-ES"/>
        </w:rPr>
        <w:t xml:space="preserve">que </w:t>
      </w:r>
      <w:r w:rsidRPr="00F60406">
        <w:rPr>
          <w:rFonts w:ascii="Palatino Linotype" w:eastAsiaTheme="minorEastAsia" w:hAnsi="Palatino Linotype"/>
          <w:b/>
          <w:sz w:val="24"/>
          <w:szCs w:val="24"/>
          <w:lang w:val="es-ES_tradnl" w:eastAsia="es-ES"/>
        </w:rPr>
        <w:t>recomiendan</w:t>
      </w:r>
      <w:r w:rsidRPr="005D0B8C">
        <w:rPr>
          <w:rFonts w:ascii="Palatino Linotype" w:eastAsiaTheme="minorEastAsia" w:hAnsi="Palatino Linotype"/>
          <w:sz w:val="24"/>
          <w:szCs w:val="24"/>
          <w:lang w:val="es-ES_tradnl" w:eastAsia="es-ES"/>
        </w:rPr>
        <w:t xml:space="preserve"> verificar el cumplimiento de tres juicios: el de necesidad, el de idoneidad y el de estricta proporcionalidad. La ausencia de cualquiera de los tres, invalida la invasión del derecho. En este caso, la limitación al derecho a la protección de datos personales tiene que ser acorde con el principio de proporcionalidad, para ello, </w:t>
      </w:r>
      <w:r w:rsidRPr="00F60406">
        <w:rPr>
          <w:rFonts w:ascii="Palatino Linotype" w:eastAsiaTheme="minorEastAsia" w:hAnsi="Palatino Linotype"/>
          <w:b/>
          <w:sz w:val="24"/>
          <w:szCs w:val="24"/>
          <w:u w:val="single"/>
          <w:lang w:val="es-ES_tradnl" w:eastAsia="es-ES"/>
        </w:rPr>
        <w:t xml:space="preserve">se sugiere </w:t>
      </w:r>
      <w:r w:rsidRPr="00F60406">
        <w:rPr>
          <w:rFonts w:ascii="Palatino Linotype" w:eastAsiaTheme="minorEastAsia" w:hAnsi="Palatino Linotype"/>
          <w:b/>
          <w:sz w:val="24"/>
          <w:szCs w:val="24"/>
          <w:u w:val="single"/>
          <w:lang w:val="es-ES_tradnl" w:eastAsia="es-ES"/>
        </w:rPr>
        <w:lastRenderedPageBreak/>
        <w:t>emplear los tres juicios</w:t>
      </w:r>
      <w:r w:rsidRPr="005D0B8C">
        <w:rPr>
          <w:rFonts w:ascii="Palatino Linotype" w:eastAsiaTheme="minorEastAsia" w:hAnsi="Palatino Linotype"/>
          <w:sz w:val="24"/>
          <w:szCs w:val="24"/>
          <w:lang w:val="es-ES_tradnl" w:eastAsia="es-ES"/>
        </w:rPr>
        <w:t xml:space="preserve"> propuestos por la Corte Constitucional Colombiana,</w:t>
      </w:r>
      <w:r w:rsidRPr="005D0B8C">
        <w:rPr>
          <w:rFonts w:ascii="Palatino Linotype" w:eastAsiaTheme="minorEastAsia" w:hAnsi="Palatino Linotype"/>
          <w:sz w:val="24"/>
          <w:szCs w:val="24"/>
          <w:vertAlign w:val="superscript"/>
          <w:lang w:val="es-ES_tradnl" w:eastAsia="es-ES"/>
        </w:rPr>
        <w:footnoteReference w:id="1"/>
      </w:r>
      <w:r w:rsidRPr="005D0B8C">
        <w:rPr>
          <w:rFonts w:ascii="Palatino Linotype" w:eastAsiaTheme="minorEastAsia" w:hAnsi="Palatino Linotype"/>
          <w:sz w:val="24"/>
          <w:szCs w:val="24"/>
          <w:lang w:val="es-ES_tradnl" w:eastAsia="es-ES"/>
        </w:rPr>
        <w:t xml:space="preserve"> siguiendo el principio de ponderación propuesto por el Tribunal Constitucional Alemán,</w:t>
      </w:r>
      <w:r w:rsidRPr="005D0B8C">
        <w:rPr>
          <w:rFonts w:ascii="Palatino Linotype" w:eastAsiaTheme="minorEastAsia" w:hAnsi="Palatino Linotype"/>
          <w:sz w:val="24"/>
          <w:szCs w:val="24"/>
          <w:vertAlign w:val="superscript"/>
          <w:lang w:val="es-ES_tradnl" w:eastAsia="es-ES"/>
        </w:rPr>
        <w:footnoteReference w:id="2"/>
      </w:r>
      <w:r w:rsidRPr="005D0B8C">
        <w:rPr>
          <w:rFonts w:ascii="Palatino Linotype" w:eastAsiaTheme="minorEastAsia" w:hAnsi="Palatino Linotype"/>
          <w:sz w:val="24"/>
          <w:szCs w:val="24"/>
          <w:vertAlign w:val="superscript"/>
          <w:lang w:val="es-ES_tradnl" w:eastAsia="es-ES"/>
        </w:rPr>
        <w:t xml:space="preserve"> </w:t>
      </w:r>
      <w:r w:rsidRPr="005D0B8C">
        <w:rPr>
          <w:rFonts w:ascii="Palatino Linotype" w:eastAsiaTheme="minorEastAsia" w:hAnsi="Palatino Linotype"/>
          <w:sz w:val="24"/>
          <w:szCs w:val="24"/>
          <w:lang w:val="es-ES_tradnl" w:eastAsia="es-ES"/>
        </w:rPr>
        <w:t xml:space="preserve">el juicio de idoneidad deberá explicar que la medida permite obtener </w:t>
      </w:r>
      <w:r w:rsidRPr="005D0B8C">
        <w:rPr>
          <w:rFonts w:ascii="Palatino Linotype" w:eastAsiaTheme="minorEastAsia" w:hAnsi="Palatino Linotype"/>
          <w:i/>
          <w:sz w:val="24"/>
          <w:szCs w:val="24"/>
          <w:lang w:val="es-ES_tradnl" w:eastAsia="es-ES"/>
        </w:rPr>
        <w:t>el fin (constitucionalmente legítimo de acuerdo con el principio de razón suficiente);</w:t>
      </w:r>
      <w:r w:rsidRPr="005D0B8C">
        <w:rPr>
          <w:rFonts w:ascii="Palatino Linotype" w:eastAsiaTheme="minorEastAsia" w:hAnsi="Palatino Linotype"/>
          <w:sz w:val="24"/>
          <w:szCs w:val="24"/>
          <w:lang w:val="es-ES_tradnl" w:eastAsia="es-ES"/>
        </w:rPr>
        <w:t xml:space="preserve"> el de necesidad, a través del cual se debe acreditar que </w:t>
      </w:r>
      <w:r w:rsidRPr="005D0B8C">
        <w:rPr>
          <w:rFonts w:ascii="Palatino Linotype" w:eastAsiaTheme="minorEastAsia" w:hAnsi="Palatino Linotype"/>
          <w:i/>
          <w:sz w:val="24"/>
          <w:szCs w:val="24"/>
          <w:lang w:val="es-ES_tradnl" w:eastAsia="es-ES"/>
        </w:rPr>
        <w:t xml:space="preserve">no existan medios alternativos </w:t>
      </w:r>
      <w:r w:rsidRPr="005D0B8C">
        <w:rPr>
          <w:rFonts w:ascii="Palatino Linotype" w:eastAsiaTheme="minorEastAsia" w:hAnsi="Palatino Linotype"/>
          <w:i/>
          <w:sz w:val="24"/>
          <w:szCs w:val="24"/>
          <w:lang w:val="es-ES_tradnl" w:eastAsia="es-ES"/>
        </w:rPr>
        <w:lastRenderedPageBreak/>
        <w:t>igualmente adecuados o idóneos para la obtención del fin, pero menos restrictivos de los principios afectados;</w:t>
      </w:r>
      <w:r w:rsidRPr="005D0B8C">
        <w:rPr>
          <w:rFonts w:ascii="Palatino Linotype" w:eastAsiaTheme="minorEastAsia" w:hAnsi="Palatino Linotype"/>
          <w:sz w:val="24"/>
          <w:szCs w:val="24"/>
          <w:lang w:val="es-ES_tradnl" w:eastAsia="es-ES"/>
        </w:rPr>
        <w:t xml:space="preserve"> y, por último, el de </w:t>
      </w:r>
      <w:r w:rsidRPr="005D0B8C">
        <w:rPr>
          <w:rFonts w:ascii="Palatino Linotype" w:eastAsiaTheme="minorEastAsia" w:hAnsi="Palatino Linotype"/>
          <w:i/>
          <w:sz w:val="24"/>
          <w:szCs w:val="24"/>
          <w:lang w:val="es-ES_tradnl" w:eastAsia="es-ES"/>
        </w:rPr>
        <w:t>proporcionalidad en sentido estricto, esto es, que el fin que la efectividad del fin que se persigue se alcance en una medida mayor a la afectación de los principios que sufren restricción, y particularmente, del principio de igualdad.</w:t>
      </w:r>
      <w:r w:rsidRPr="005D0B8C">
        <w:rPr>
          <w:rFonts w:ascii="Palatino Linotype" w:eastAsiaTheme="minorEastAsia" w:hAnsi="Palatino Linotype"/>
          <w:i/>
          <w:sz w:val="24"/>
          <w:szCs w:val="24"/>
          <w:vertAlign w:val="superscript"/>
          <w:lang w:val="es-ES_tradnl" w:eastAsia="es-ES"/>
        </w:rPr>
        <w:footnoteReference w:id="3"/>
      </w:r>
      <w:r w:rsidRPr="005D0B8C">
        <w:rPr>
          <w:rFonts w:ascii="Palatino Linotype" w:eastAsiaTheme="minorEastAsia" w:hAnsi="Palatino Linotype"/>
          <w:i/>
          <w:sz w:val="24"/>
          <w:szCs w:val="24"/>
          <w:lang w:val="es-ES_tradnl" w:eastAsia="es-ES"/>
        </w:rPr>
        <w:t xml:space="preserve"> </w:t>
      </w:r>
    </w:p>
    <w:p w:rsidR="00B03A5A" w:rsidRPr="005D0B8C" w:rsidRDefault="00B03A5A" w:rsidP="00B03A5A">
      <w:pPr>
        <w:spacing w:line="360" w:lineRule="auto"/>
        <w:ind w:left="426"/>
        <w:contextualSpacing/>
        <w:jc w:val="both"/>
        <w:rPr>
          <w:rFonts w:ascii="Palatino Linotype" w:eastAsiaTheme="minorEastAsia" w:hAnsi="Palatino Linotype"/>
          <w:sz w:val="24"/>
          <w:szCs w:val="24"/>
          <w:lang w:val="es-ES_tradnl" w:eastAsia="es-ES"/>
        </w:rPr>
      </w:pPr>
    </w:p>
    <w:p w:rsidR="00B03A5A" w:rsidRPr="005D0B8C" w:rsidRDefault="00F60406"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Pr>
          <w:rFonts w:ascii="Palatino Linotype" w:eastAsia="Times New Roman" w:hAnsi="Palatino Linotype" w:cs="Times New Roman"/>
          <w:color w:val="000000"/>
          <w:sz w:val="24"/>
          <w:szCs w:val="24"/>
          <w:lang w:val="es-ES_tradnl" w:eastAsia="es-ES_tradnl"/>
        </w:rPr>
        <w:t>Asimismo, l</w:t>
      </w:r>
      <w:r w:rsidR="00B03A5A" w:rsidRPr="005D0B8C">
        <w:rPr>
          <w:rFonts w:ascii="Palatino Linotype" w:eastAsia="Times New Roman" w:hAnsi="Palatino Linotype" w:cs="Times New Roman"/>
          <w:color w:val="000000"/>
          <w:sz w:val="24"/>
          <w:szCs w:val="24"/>
          <w:lang w:val="es-ES_tradnl" w:eastAsia="es-ES_tradnl"/>
        </w:rPr>
        <w:t xml:space="preserve">a Primera Sala de la Suprema Corte de Justicia de la Nación ha establecido </w:t>
      </w:r>
      <w:r w:rsidR="00B03A5A" w:rsidRPr="00F60406">
        <w:rPr>
          <w:rFonts w:ascii="Palatino Linotype" w:eastAsia="Times New Roman" w:hAnsi="Palatino Linotype" w:cs="Times New Roman"/>
          <w:b/>
          <w:color w:val="000000"/>
          <w:sz w:val="24"/>
          <w:szCs w:val="24"/>
          <w:u w:val="single"/>
          <w:lang w:val="es-ES_tradnl" w:eastAsia="es-ES_tradnl"/>
        </w:rPr>
        <w:t>criterios orientadores</w:t>
      </w:r>
      <w:r w:rsidR="00B03A5A" w:rsidRPr="005D0B8C">
        <w:rPr>
          <w:rFonts w:ascii="Palatino Linotype" w:eastAsia="Times New Roman" w:hAnsi="Palatino Linotype" w:cs="Times New Roman"/>
          <w:color w:val="000000"/>
          <w:sz w:val="24"/>
          <w:szCs w:val="24"/>
          <w:lang w:val="es-ES_tradnl" w:eastAsia="es-ES_tradnl"/>
        </w:rPr>
        <w:t xml:space="preserve"> sobre el procedimiento para desahogar lo que denomina como el test de proporcionalidad, a partir de cuatro etapas:</w:t>
      </w:r>
      <w:r w:rsidR="00B03A5A" w:rsidRPr="005D0B8C">
        <w:rPr>
          <w:rFonts w:ascii="Palatino Linotype" w:eastAsiaTheme="minorEastAsia" w:hAnsi="Palatino Linotype"/>
          <w:sz w:val="24"/>
          <w:szCs w:val="24"/>
          <w:lang w:eastAsia="es-ES"/>
        </w:rPr>
        <w:t xml:space="preserve"> </w:t>
      </w:r>
      <w:r w:rsidR="00B03A5A" w:rsidRPr="005D0B8C">
        <w:rPr>
          <w:rFonts w:ascii="Palatino Linotype" w:eastAsia="Times New Roman" w:hAnsi="Palatino Linotype" w:cs="Times New Roman"/>
          <w:i/>
          <w:color w:val="000000"/>
          <w:sz w:val="24"/>
          <w:szCs w:val="24"/>
          <w:lang w:val="es-ES_tradnl" w:eastAsia="es-ES_tradnl"/>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00B03A5A" w:rsidRPr="005D0B8C">
        <w:rPr>
          <w:rFonts w:ascii="Palatino Linotype" w:eastAsia="Times New Roman" w:hAnsi="Palatino Linotype" w:cs="Times New Roman"/>
          <w:i/>
          <w:color w:val="000000"/>
          <w:sz w:val="24"/>
          <w:szCs w:val="24"/>
          <w:vertAlign w:val="superscript"/>
          <w:lang w:val="es-ES_tradnl" w:eastAsia="es-ES_tradnl"/>
        </w:rPr>
        <w:footnoteReference w:id="4"/>
      </w:r>
    </w:p>
    <w:p w:rsidR="00B03A5A" w:rsidRPr="005D0B8C" w:rsidRDefault="00B03A5A"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eastAsiaTheme="minorEastAsia" w:hAnsi="Palatino Linotype"/>
          <w:sz w:val="24"/>
          <w:szCs w:val="24"/>
          <w:lang w:eastAsia="es-ES"/>
        </w:rPr>
        <w:lastRenderedPageBreak/>
        <w:t>Por lo que podemos apreciar que las fases primera y segunda de las propuestas por la Segunda sala de la SCJN, corresponden con el juicio de idoneidad; mientras que el tercero corresponde al juicio de necesidad y el último propuesto por la Primera Sala de la SCJN es similar al de proporcionalidad en sentido estricto</w:t>
      </w:r>
      <w:r w:rsidRPr="005D0B8C">
        <w:rPr>
          <w:rFonts w:ascii="Palatino Linotype" w:eastAsiaTheme="minorEastAsia" w:hAnsi="Palatino Linotype"/>
          <w:sz w:val="24"/>
          <w:szCs w:val="24"/>
          <w:lang w:val="es-ES_tradnl" w:eastAsia="es-ES"/>
        </w:rPr>
        <w:t xml:space="preserve">, </w:t>
      </w:r>
      <w:r w:rsidR="00F60406" w:rsidRPr="00F60406">
        <w:rPr>
          <w:rFonts w:ascii="Palatino Linotype" w:eastAsiaTheme="minorEastAsia" w:hAnsi="Palatino Linotype"/>
          <w:b/>
          <w:sz w:val="24"/>
          <w:szCs w:val="24"/>
          <w:lang w:val="es-ES_tradnl" w:eastAsia="es-ES"/>
        </w:rPr>
        <w:t xml:space="preserve">motivo por el cual consideramos dable se </w:t>
      </w:r>
      <w:r w:rsidRPr="00F60406">
        <w:rPr>
          <w:rFonts w:ascii="Palatino Linotype" w:eastAsiaTheme="minorEastAsia" w:hAnsi="Palatino Linotype"/>
          <w:b/>
          <w:sz w:val="24"/>
          <w:szCs w:val="24"/>
          <w:lang w:val="es-ES_tradnl" w:eastAsia="es-ES"/>
        </w:rPr>
        <w:t>emple</w:t>
      </w:r>
      <w:r w:rsidR="00F60406" w:rsidRPr="00F60406">
        <w:rPr>
          <w:rFonts w:ascii="Palatino Linotype" w:eastAsiaTheme="minorEastAsia" w:hAnsi="Palatino Linotype"/>
          <w:b/>
          <w:sz w:val="24"/>
          <w:szCs w:val="24"/>
          <w:lang w:val="es-ES_tradnl" w:eastAsia="es-ES"/>
        </w:rPr>
        <w:t>e</w:t>
      </w:r>
      <w:r w:rsidRPr="00F60406">
        <w:rPr>
          <w:rFonts w:ascii="Palatino Linotype" w:eastAsiaTheme="minorEastAsia" w:hAnsi="Palatino Linotype"/>
          <w:b/>
          <w:sz w:val="24"/>
          <w:szCs w:val="24"/>
          <w:lang w:val="es-ES_tradnl" w:eastAsia="es-ES"/>
        </w:rPr>
        <w:t xml:space="preserve"> </w:t>
      </w:r>
      <w:r w:rsidRPr="005D0B8C">
        <w:rPr>
          <w:rFonts w:ascii="Palatino Linotype" w:eastAsiaTheme="minorEastAsia" w:hAnsi="Palatino Linotype"/>
          <w:sz w:val="24"/>
          <w:szCs w:val="24"/>
          <w:lang w:val="es-ES_tradnl" w:eastAsia="es-ES"/>
        </w:rPr>
        <w:t>la fórmula tripartita que colma la propuesta en cuatro fases de nuestra primera Sala.</w:t>
      </w:r>
    </w:p>
    <w:p w:rsidR="00B03A5A" w:rsidRPr="005D0B8C" w:rsidRDefault="00B03A5A" w:rsidP="00B03A5A">
      <w:pPr>
        <w:pStyle w:val="Prrafodelista"/>
        <w:rPr>
          <w:rFonts w:ascii="Palatino Linotype" w:hAnsi="Palatino Linotype"/>
          <w:sz w:val="24"/>
          <w:szCs w:val="24"/>
        </w:rPr>
      </w:pPr>
    </w:p>
    <w:p w:rsidR="00B03A5A" w:rsidRDefault="00B03A5A" w:rsidP="001E041A">
      <w:pPr>
        <w:pStyle w:val="Ttulo1"/>
        <w:numPr>
          <w:ilvl w:val="0"/>
          <w:numId w:val="41"/>
        </w:numPr>
        <w:rPr>
          <w:rFonts w:ascii="Palatino Linotype" w:eastAsiaTheme="minorEastAsia" w:hAnsi="Palatino Linotype"/>
          <w:b/>
          <w:color w:val="000000" w:themeColor="text1"/>
          <w:sz w:val="24"/>
          <w:szCs w:val="24"/>
          <w:lang w:val="es-ES_tradnl" w:eastAsia="es-ES"/>
        </w:rPr>
      </w:pPr>
      <w:bookmarkStart w:id="2" w:name="_Toc524358248"/>
      <w:r w:rsidRPr="001E041A">
        <w:rPr>
          <w:rFonts w:ascii="Palatino Linotype" w:eastAsiaTheme="minorEastAsia" w:hAnsi="Palatino Linotype"/>
          <w:b/>
          <w:color w:val="000000" w:themeColor="text1"/>
          <w:sz w:val="24"/>
          <w:szCs w:val="24"/>
          <w:lang w:val="es-ES_tradnl" w:eastAsia="es-ES"/>
        </w:rPr>
        <w:t>Primer juicio: el de idoneidad.</w:t>
      </w:r>
      <w:bookmarkEnd w:id="2"/>
    </w:p>
    <w:p w:rsidR="00F60406" w:rsidRPr="00F60406" w:rsidRDefault="00F60406" w:rsidP="00F60406">
      <w:pPr>
        <w:rPr>
          <w:lang w:val="es-ES_tradnl" w:eastAsia="es-ES"/>
        </w:rPr>
      </w:pPr>
    </w:p>
    <w:p w:rsidR="00B03A5A" w:rsidRPr="005D0B8C" w:rsidRDefault="00B03A5A"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eastAsiaTheme="minorEastAsia" w:hAnsi="Palatino Linotype"/>
          <w:sz w:val="24"/>
          <w:szCs w:val="24"/>
          <w:lang w:val="es-ES_tradnl" w:eastAsia="es-ES"/>
        </w:rPr>
        <w:lastRenderedPageBreak/>
        <w:t xml:space="preserve">El principio de idoneidad consiste en que la restricción propuesta sea la idónea para obtener un fin, constitucionalmente legítimo de acuerdo con el principio de razón suficiente. </w:t>
      </w:r>
    </w:p>
    <w:p w:rsidR="00B03A5A" w:rsidRPr="00506287" w:rsidRDefault="00B03A5A"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eastAsiaTheme="minorEastAsia" w:hAnsi="Palatino Linotype"/>
          <w:sz w:val="24"/>
          <w:szCs w:val="24"/>
          <w:lang w:val="es-ES_tradnl" w:eastAsia="es-ES"/>
        </w:rPr>
        <w:t xml:space="preserve">Según la Primera Sala de la SCJN, esta primera fase del test consiste en identificar si la medida restrictiva persigue </w:t>
      </w:r>
      <w:r w:rsidRPr="005D0B8C">
        <w:rPr>
          <w:rFonts w:ascii="Palatino Linotype" w:eastAsiaTheme="minorEastAsia" w:hAnsi="Palatino Linotype"/>
          <w:i/>
          <w:sz w:val="24"/>
          <w:szCs w:val="24"/>
          <w:lang w:val="es-ES_tradnl" w:eastAsia="es-ES"/>
        </w:rPr>
        <w:t>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5D0B8C">
        <w:rPr>
          <w:rFonts w:ascii="Palatino Linotype" w:eastAsiaTheme="minorEastAsia" w:hAnsi="Palatino Linotype"/>
          <w:i/>
          <w:sz w:val="24"/>
          <w:szCs w:val="24"/>
          <w:vertAlign w:val="superscript"/>
          <w:lang w:val="es-ES_tradnl" w:eastAsia="es-ES"/>
        </w:rPr>
        <w:footnoteReference w:id="5"/>
      </w:r>
      <w:r w:rsidRPr="005D0B8C">
        <w:rPr>
          <w:rFonts w:ascii="Palatino Linotype" w:eastAsiaTheme="minorEastAsia" w:hAnsi="Palatino Linotype"/>
          <w:i/>
          <w:sz w:val="24"/>
          <w:szCs w:val="24"/>
          <w:lang w:val="es-ES_tradnl" w:eastAsia="es-ES"/>
        </w:rPr>
        <w:t xml:space="preserve"> </w:t>
      </w:r>
    </w:p>
    <w:p w:rsidR="00506287" w:rsidRPr="005D0B8C" w:rsidRDefault="00506287" w:rsidP="00506287">
      <w:pPr>
        <w:spacing w:line="360" w:lineRule="auto"/>
        <w:ind w:left="360"/>
        <w:contextualSpacing/>
        <w:jc w:val="both"/>
        <w:rPr>
          <w:rFonts w:ascii="Palatino Linotype" w:eastAsiaTheme="minorEastAsia" w:hAnsi="Palatino Linotype"/>
          <w:sz w:val="24"/>
          <w:szCs w:val="24"/>
          <w:lang w:val="es-ES_tradnl" w:eastAsia="es-ES"/>
        </w:rPr>
      </w:pPr>
    </w:p>
    <w:p w:rsidR="00B03A5A" w:rsidRPr="005D0B8C" w:rsidRDefault="00B03A5A" w:rsidP="005D0B8C">
      <w:pPr>
        <w:numPr>
          <w:ilvl w:val="0"/>
          <w:numId w:val="17"/>
        </w:numPr>
        <w:spacing w:line="360" w:lineRule="auto"/>
        <w:contextualSpacing/>
        <w:jc w:val="both"/>
        <w:rPr>
          <w:rFonts w:ascii="Palatino Linotype" w:eastAsiaTheme="minorEastAsia" w:hAnsi="Palatino Linotype"/>
          <w:i/>
          <w:sz w:val="24"/>
          <w:szCs w:val="24"/>
          <w:lang w:val="es-ES_tradnl" w:eastAsia="es-ES"/>
        </w:rPr>
      </w:pPr>
      <w:r w:rsidRPr="005D0B8C">
        <w:rPr>
          <w:rFonts w:ascii="Palatino Linotype" w:eastAsiaTheme="minorEastAsia" w:hAnsi="Palatino Linotype"/>
          <w:sz w:val="24"/>
          <w:szCs w:val="24"/>
          <w:lang w:val="es-ES_tradnl" w:eastAsia="es-ES"/>
        </w:rPr>
        <w:t xml:space="preserve">También debemos de considerar que la misma Sala requiere que </w:t>
      </w:r>
      <w:r w:rsidRPr="005D0B8C">
        <w:rPr>
          <w:rFonts w:ascii="Palatino Linotype" w:eastAsiaTheme="minorEastAsia" w:hAnsi="Palatino Linotype"/>
          <w:i/>
          <w:sz w:val="24"/>
          <w:szCs w:val="24"/>
          <w:lang w:val="es-ES_tradnl" w:eastAsia="es-ES"/>
        </w:rPr>
        <w:t>el examen de idoneidad presupone la existencia de una relación entre la intervención al derecho y el fin que persigue dicha afectación, siendo suficiente que la medida contribuya en algún modo y en algún grado a lograr el propósito que busca el legislador.</w:t>
      </w:r>
      <w:r w:rsidRPr="005D0B8C">
        <w:rPr>
          <w:rFonts w:ascii="Palatino Linotype" w:eastAsiaTheme="minorEastAsia" w:hAnsi="Palatino Linotype"/>
          <w:i/>
          <w:sz w:val="24"/>
          <w:szCs w:val="24"/>
          <w:vertAlign w:val="superscript"/>
          <w:lang w:val="es-ES_tradnl" w:eastAsia="es-ES"/>
        </w:rPr>
        <w:footnoteReference w:id="6"/>
      </w:r>
    </w:p>
    <w:p w:rsidR="00B03A5A" w:rsidRPr="005D0B8C" w:rsidRDefault="00B03A5A" w:rsidP="00B03A5A">
      <w:pPr>
        <w:pStyle w:val="Prrafodelista"/>
        <w:rPr>
          <w:rFonts w:ascii="Palatino Linotype" w:hAnsi="Palatino Linotype"/>
          <w:i/>
          <w:sz w:val="24"/>
          <w:szCs w:val="24"/>
        </w:rPr>
      </w:pPr>
    </w:p>
    <w:p w:rsidR="00B03A5A" w:rsidRPr="001E041A" w:rsidRDefault="00B03A5A" w:rsidP="001E041A">
      <w:pPr>
        <w:pStyle w:val="Ttulo1"/>
        <w:numPr>
          <w:ilvl w:val="0"/>
          <w:numId w:val="41"/>
        </w:numPr>
        <w:rPr>
          <w:rFonts w:ascii="Palatino Linotype" w:eastAsiaTheme="minorEastAsia" w:hAnsi="Palatino Linotype"/>
          <w:b/>
          <w:color w:val="000000" w:themeColor="text1"/>
          <w:sz w:val="24"/>
          <w:szCs w:val="24"/>
          <w:lang w:val="es-ES_tradnl" w:eastAsia="es-ES"/>
        </w:rPr>
      </w:pPr>
      <w:bookmarkStart w:id="3" w:name="_Toc524358249"/>
      <w:r w:rsidRPr="001E041A">
        <w:rPr>
          <w:rFonts w:ascii="Palatino Linotype" w:eastAsiaTheme="minorEastAsia" w:hAnsi="Palatino Linotype"/>
          <w:b/>
          <w:color w:val="000000" w:themeColor="text1"/>
          <w:sz w:val="24"/>
          <w:szCs w:val="24"/>
          <w:lang w:val="es-ES_tradnl" w:eastAsia="es-ES"/>
        </w:rPr>
        <w:t>Segundo juicio: el de necesidad.</w:t>
      </w:r>
      <w:bookmarkEnd w:id="3"/>
    </w:p>
    <w:p w:rsidR="00B03A5A" w:rsidRPr="005D0B8C" w:rsidRDefault="00B03A5A"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eastAsiaTheme="minorEastAsia" w:hAnsi="Palatino Linotype"/>
          <w:sz w:val="24"/>
          <w:szCs w:val="24"/>
          <w:lang w:val="es-ES_tradnl" w:eastAsia="es-ES"/>
        </w:rPr>
        <w:t xml:space="preserve">El juicio o principio de necesidad, tienen como finalidad acreditar que </w:t>
      </w:r>
      <w:r w:rsidRPr="005D0B8C">
        <w:rPr>
          <w:rFonts w:ascii="Palatino Linotype" w:eastAsiaTheme="minorEastAsia" w:hAnsi="Palatino Linotype"/>
          <w:i/>
          <w:sz w:val="24"/>
          <w:szCs w:val="24"/>
          <w:lang w:val="es-ES_tradnl" w:eastAsia="es-ES"/>
        </w:rPr>
        <w:t xml:space="preserve">no existan medios alternativos igualmente adecuados o idóneos para la obtención del fin, pero menos restrictivos de los principios afectados, </w:t>
      </w:r>
      <w:r w:rsidRPr="005D0B8C">
        <w:rPr>
          <w:rFonts w:ascii="Palatino Linotype" w:eastAsiaTheme="minorEastAsia" w:hAnsi="Palatino Linotype"/>
          <w:sz w:val="24"/>
          <w:szCs w:val="24"/>
          <w:lang w:val="es-ES_tradnl" w:eastAsia="es-ES"/>
        </w:rPr>
        <w:t xml:space="preserve">según el Tribunal Constitucional de Colombia, o bien, </w:t>
      </w:r>
      <w:r w:rsidRPr="005D0B8C">
        <w:rPr>
          <w:rFonts w:ascii="Palatino Linotype" w:eastAsiaTheme="minorEastAsia" w:hAnsi="Palatino Linotype"/>
          <w:i/>
          <w:sz w:val="24"/>
          <w:szCs w:val="24"/>
          <w:lang w:val="es-ES_tradnl" w:eastAsia="es-ES"/>
        </w:rPr>
        <w:t xml:space="preserve">corresponde analizar si la misma es necesaria o si, por el contrario, </w:t>
      </w:r>
      <w:r w:rsidRPr="005D0B8C">
        <w:rPr>
          <w:rFonts w:ascii="Palatino Linotype" w:eastAsiaTheme="minorEastAsia" w:hAnsi="Palatino Linotype"/>
          <w:i/>
          <w:sz w:val="24"/>
          <w:szCs w:val="24"/>
          <w:lang w:val="es-ES_tradnl" w:eastAsia="es-ES"/>
        </w:rPr>
        <w:lastRenderedPageBreak/>
        <w:t>existen medidas alternativas que también sean idóneas pero que afecten</w:t>
      </w:r>
      <w:r w:rsidRPr="005D0B8C">
        <w:rPr>
          <w:rFonts w:ascii="Palatino Linotype" w:eastAsiaTheme="minorEastAsia" w:hAnsi="Palatino Linotype" w:cs="Verdana"/>
          <w:sz w:val="24"/>
          <w:szCs w:val="24"/>
          <w:lang w:val="es-ES_tradnl" w:eastAsia="es-ES"/>
        </w:rPr>
        <w:t xml:space="preserve"> </w:t>
      </w:r>
      <w:r w:rsidRPr="005D0B8C">
        <w:rPr>
          <w:rFonts w:ascii="Palatino Linotype" w:eastAsiaTheme="minorEastAsia" w:hAnsi="Palatino Linotype"/>
          <w:i/>
          <w:sz w:val="24"/>
          <w:szCs w:val="24"/>
          <w:lang w:val="es-ES_tradnl" w:eastAsia="es-ES"/>
        </w:rPr>
        <w:t>en menor grado el derecho fundamental</w:t>
      </w:r>
      <w:r w:rsidRPr="005D0B8C">
        <w:rPr>
          <w:rFonts w:ascii="Palatino Linotype" w:eastAsiaTheme="minorEastAsia" w:hAnsi="Palatino Linotype"/>
          <w:sz w:val="24"/>
          <w:szCs w:val="24"/>
          <w:lang w:val="es-ES_tradnl" w:eastAsia="es-ES"/>
        </w:rPr>
        <w:t>,</w:t>
      </w:r>
      <w:r w:rsidRPr="005D0B8C">
        <w:rPr>
          <w:rFonts w:ascii="Palatino Linotype" w:eastAsiaTheme="minorEastAsia" w:hAnsi="Palatino Linotype"/>
          <w:sz w:val="24"/>
          <w:szCs w:val="24"/>
          <w:vertAlign w:val="superscript"/>
          <w:lang w:val="es-ES_tradnl" w:eastAsia="es-ES"/>
        </w:rPr>
        <w:footnoteReference w:id="7"/>
      </w:r>
      <w:r w:rsidRPr="005D0B8C">
        <w:rPr>
          <w:rFonts w:ascii="Palatino Linotype" w:eastAsiaTheme="minorEastAsia" w:hAnsi="Palatino Linotype"/>
          <w:sz w:val="24"/>
          <w:szCs w:val="24"/>
          <w:lang w:val="es-ES_tradnl" w:eastAsia="es-ES"/>
        </w:rPr>
        <w:t xml:space="preserve"> según la Primera Sala de la SCJN.</w:t>
      </w:r>
    </w:p>
    <w:p w:rsidR="00B03A5A" w:rsidRPr="001E041A" w:rsidRDefault="00B03A5A" w:rsidP="001E041A">
      <w:pPr>
        <w:pStyle w:val="Ttulo1"/>
        <w:numPr>
          <w:ilvl w:val="0"/>
          <w:numId w:val="46"/>
        </w:numPr>
        <w:ind w:left="709"/>
        <w:rPr>
          <w:rFonts w:ascii="Palatino Linotype" w:eastAsiaTheme="minorEastAsia" w:hAnsi="Palatino Linotype"/>
          <w:b/>
          <w:color w:val="000000" w:themeColor="text1"/>
          <w:sz w:val="24"/>
          <w:szCs w:val="24"/>
          <w:lang w:val="es-ES_tradnl" w:eastAsia="es-ES"/>
        </w:rPr>
      </w:pPr>
      <w:bookmarkStart w:id="4" w:name="_Toc524358250"/>
      <w:r w:rsidRPr="001E041A">
        <w:rPr>
          <w:rFonts w:ascii="Palatino Linotype" w:eastAsiaTheme="minorEastAsia" w:hAnsi="Palatino Linotype"/>
          <w:b/>
          <w:color w:val="000000" w:themeColor="text1"/>
          <w:sz w:val="24"/>
          <w:szCs w:val="24"/>
          <w:lang w:val="es-ES_tradnl" w:eastAsia="es-ES"/>
        </w:rPr>
        <w:t>Tercer juicio: Estricta ponderación.</w:t>
      </w:r>
      <w:bookmarkEnd w:id="4"/>
    </w:p>
    <w:p w:rsidR="00B03A5A" w:rsidRPr="005D0B8C" w:rsidRDefault="00B03A5A" w:rsidP="005D0B8C">
      <w:pPr>
        <w:numPr>
          <w:ilvl w:val="0"/>
          <w:numId w:val="17"/>
        </w:numPr>
        <w:spacing w:line="360" w:lineRule="auto"/>
        <w:contextualSpacing/>
        <w:jc w:val="both"/>
        <w:rPr>
          <w:rFonts w:ascii="Palatino Linotype" w:eastAsiaTheme="minorEastAsia" w:hAnsi="Palatino Linotype"/>
          <w:sz w:val="24"/>
          <w:szCs w:val="24"/>
          <w:lang w:val="es-ES_tradnl" w:eastAsia="es-ES"/>
        </w:rPr>
      </w:pPr>
      <w:r w:rsidRPr="005D0B8C">
        <w:rPr>
          <w:rFonts w:ascii="Palatino Linotype" w:eastAsiaTheme="minorEastAsia" w:hAnsi="Palatino Linotype"/>
          <w:sz w:val="24"/>
          <w:szCs w:val="24"/>
          <w:lang w:val="es-ES_tradnl" w:eastAsia="es-ES"/>
        </w:rPr>
        <w:t xml:space="preserve">¿La medida ordenada es la de garantizar la debida protección a la intimidad de la persona? Recordemos que en términos de la Primera Sala de la SCJN, </w:t>
      </w:r>
      <w:r w:rsidRPr="005D0B8C">
        <w:rPr>
          <w:rFonts w:ascii="Palatino Linotype" w:eastAsiaTheme="minorEastAsia" w:hAnsi="Palatino Linotype" w:cs="Arial"/>
          <w:i/>
          <w:color w:val="000000" w:themeColor="text1"/>
          <w:sz w:val="24"/>
          <w:szCs w:val="24"/>
          <w:lang w:eastAsia="es-ES"/>
        </w:rPr>
        <w:t xml:space="preserve">en esta fase del escrutinio es preciso realizar una ponderación entre los beneficios que cabe esperar de una limitación desde la perspectiva de los fines que se persiguen, frente a los costos que </w:t>
      </w:r>
      <w:r w:rsidRPr="005D0B8C">
        <w:rPr>
          <w:rFonts w:ascii="Palatino Linotype" w:eastAsiaTheme="minorEastAsia" w:hAnsi="Palatino Linotype" w:cs="Arial"/>
          <w:i/>
          <w:color w:val="000000" w:themeColor="text1"/>
          <w:sz w:val="24"/>
          <w:szCs w:val="24"/>
          <w:lang w:eastAsia="es-ES"/>
        </w:rPr>
        <w:lastRenderedPageBreak/>
        <w:t>necesariamente se producirán desde la perspectiva de los derechos fundamentales afectados.</w:t>
      </w:r>
    </w:p>
    <w:p w:rsidR="00B03A5A" w:rsidRPr="005D0B8C" w:rsidRDefault="00B03A5A" w:rsidP="00B03A5A">
      <w:pPr>
        <w:spacing w:after="0" w:line="360" w:lineRule="auto"/>
        <w:ind w:left="720"/>
        <w:contextualSpacing/>
        <w:jc w:val="both"/>
        <w:rPr>
          <w:rFonts w:ascii="Palatino Linotype" w:eastAsiaTheme="minorEastAsia" w:hAnsi="Palatino Linotype"/>
          <w:sz w:val="24"/>
          <w:szCs w:val="24"/>
          <w:lang w:val="es-ES_tradnl" w:eastAsia="es-ES"/>
        </w:rPr>
      </w:pPr>
    </w:p>
    <w:p w:rsidR="00B03A5A" w:rsidRDefault="00486D45" w:rsidP="005D0B8C">
      <w:pPr>
        <w:numPr>
          <w:ilvl w:val="0"/>
          <w:numId w:val="17"/>
        </w:numPr>
        <w:spacing w:after="0" w:line="360" w:lineRule="auto"/>
        <w:ind w:right="49"/>
        <w:jc w:val="both"/>
        <w:rPr>
          <w:rFonts w:ascii="Palatino Linotype" w:eastAsia="Times New Roman" w:hAnsi="Palatino Linotype" w:cs="Arial"/>
          <w:color w:val="000000" w:themeColor="text1"/>
          <w:sz w:val="24"/>
          <w:szCs w:val="24"/>
          <w:lang w:eastAsia="es-MX"/>
        </w:rPr>
      </w:pPr>
      <w:r w:rsidRPr="005D0B8C">
        <w:rPr>
          <w:rFonts w:ascii="Palatino Linotype" w:hAnsi="Palatino Linotype"/>
          <w:color w:val="000000" w:themeColor="text1"/>
          <w:sz w:val="24"/>
          <w:szCs w:val="24"/>
        </w:rPr>
        <w:t xml:space="preserve">En ese contexto, </w:t>
      </w:r>
      <w:r w:rsidR="00B03A5A" w:rsidRPr="005D0B8C">
        <w:rPr>
          <w:rFonts w:ascii="Palatino Linotype" w:hAnsi="Palatino Linotype"/>
          <w:color w:val="000000" w:themeColor="text1"/>
          <w:sz w:val="24"/>
          <w:szCs w:val="24"/>
        </w:rPr>
        <w:t xml:space="preserve">concluir que la prueba de interés público tiene dos finalidades, para demostrar que se puede ser entregada la información o concluir que no se puede ser entregada como resulta del caso concreto, situación que como se desprende del estudio realizado en el </w:t>
      </w:r>
      <w:r w:rsidR="005D0B8C" w:rsidRPr="005D0B8C">
        <w:rPr>
          <w:rFonts w:ascii="Palatino Linotype" w:hAnsi="Palatino Linotype"/>
          <w:color w:val="000000" w:themeColor="text1"/>
          <w:sz w:val="24"/>
          <w:szCs w:val="24"/>
        </w:rPr>
        <w:t>prov</w:t>
      </w:r>
      <w:r w:rsidR="005D0B8C">
        <w:rPr>
          <w:rFonts w:ascii="Palatino Linotype" w:hAnsi="Palatino Linotype"/>
          <w:color w:val="000000" w:themeColor="text1"/>
          <w:sz w:val="24"/>
          <w:szCs w:val="24"/>
        </w:rPr>
        <w:t>eído</w:t>
      </w:r>
      <w:r w:rsidR="00B03A5A" w:rsidRPr="005D0B8C">
        <w:rPr>
          <w:rFonts w:ascii="Palatino Linotype" w:hAnsi="Palatino Linotype"/>
          <w:color w:val="000000" w:themeColor="text1"/>
          <w:sz w:val="24"/>
          <w:szCs w:val="24"/>
        </w:rPr>
        <w:t xml:space="preserve"> de mérito, no ocurrió;</w:t>
      </w:r>
      <w:r w:rsidR="005F5D83" w:rsidRPr="005D0B8C">
        <w:rPr>
          <w:rFonts w:ascii="Palatino Linotype" w:hAnsi="Palatino Linotype"/>
          <w:color w:val="000000" w:themeColor="text1"/>
          <w:sz w:val="24"/>
          <w:szCs w:val="24"/>
        </w:rPr>
        <w:t xml:space="preserve"> </w:t>
      </w:r>
      <w:r w:rsidR="00B03A5A" w:rsidRPr="005D0B8C">
        <w:rPr>
          <w:rFonts w:ascii="Palatino Linotype" w:hAnsi="Palatino Linotype"/>
          <w:color w:val="000000" w:themeColor="text1"/>
          <w:sz w:val="24"/>
          <w:szCs w:val="24"/>
        </w:rPr>
        <w:t xml:space="preserve">sin embargo </w:t>
      </w:r>
      <w:r w:rsidR="00B03A5A" w:rsidRPr="005D0B8C">
        <w:rPr>
          <w:rFonts w:ascii="Palatino Linotype" w:hAnsi="Palatino Linotype"/>
          <w:i/>
          <w:color w:val="000000" w:themeColor="text1"/>
          <w:sz w:val="24"/>
          <w:szCs w:val="24"/>
        </w:rPr>
        <w:t>–insistir–</w:t>
      </w:r>
      <w:r w:rsidR="00B03A5A" w:rsidRPr="005D0B8C">
        <w:rPr>
          <w:rFonts w:ascii="Palatino Linotype" w:hAnsi="Palatino Linotype"/>
          <w:color w:val="000000" w:themeColor="text1"/>
          <w:sz w:val="24"/>
          <w:szCs w:val="24"/>
        </w:rPr>
        <w:t xml:space="preserve"> que se comparte </w:t>
      </w:r>
      <w:r w:rsidR="00B03A5A" w:rsidRPr="005D0B8C">
        <w:rPr>
          <w:rFonts w:ascii="Palatino Linotype" w:eastAsia="Times New Roman" w:hAnsi="Palatino Linotype" w:cs="Arial"/>
          <w:color w:val="000000" w:themeColor="text1"/>
          <w:sz w:val="24"/>
          <w:szCs w:val="24"/>
          <w:lang w:eastAsia="es-MX"/>
        </w:rPr>
        <w:t>el que resulte viable revocar la respuesta otorgada a la solicitud de información y se ordene el resp</w:t>
      </w:r>
      <w:r w:rsidR="00F60406">
        <w:rPr>
          <w:rFonts w:ascii="Palatino Linotype" w:eastAsia="Times New Roman" w:hAnsi="Palatino Linotype" w:cs="Arial"/>
          <w:color w:val="000000" w:themeColor="text1"/>
          <w:sz w:val="24"/>
          <w:szCs w:val="24"/>
          <w:lang w:eastAsia="es-MX"/>
        </w:rPr>
        <w:t xml:space="preserve">ectivo Acuerdo de Clasificación </w:t>
      </w:r>
      <w:r w:rsidR="00F60406" w:rsidRPr="00F60406">
        <w:rPr>
          <w:rFonts w:ascii="Palatino Linotype" w:eastAsia="Times New Roman" w:hAnsi="Palatino Linotype" w:cs="Arial"/>
          <w:color w:val="000000" w:themeColor="text1"/>
          <w:sz w:val="24"/>
          <w:szCs w:val="24"/>
          <w:lang w:eastAsia="es-MX"/>
        </w:rPr>
        <w:t xml:space="preserve">como información confidencial, </w:t>
      </w:r>
      <w:r w:rsidR="00B03A5A" w:rsidRPr="005D0B8C">
        <w:rPr>
          <w:rFonts w:ascii="Palatino Linotype" w:eastAsia="Times New Roman" w:hAnsi="Palatino Linotype" w:cs="Arial"/>
          <w:color w:val="000000" w:themeColor="text1"/>
          <w:sz w:val="24"/>
          <w:szCs w:val="24"/>
          <w:lang w:eastAsia="es-MX"/>
        </w:rPr>
        <w:t xml:space="preserve"> </w:t>
      </w:r>
      <w:r w:rsidR="00B03A5A" w:rsidRPr="00506287">
        <w:rPr>
          <w:rFonts w:ascii="Palatino Linotype" w:eastAsia="Times New Roman" w:hAnsi="Palatino Linotype" w:cs="Arial"/>
          <w:color w:val="000000" w:themeColor="text1"/>
          <w:sz w:val="24"/>
          <w:szCs w:val="24"/>
          <w:lang w:eastAsia="es-MX"/>
        </w:rPr>
        <w:t>mismo que deberá dar cumplimiento a cada una de las formalidades que la norma jurídica establece.</w:t>
      </w:r>
    </w:p>
    <w:p w:rsidR="00506287" w:rsidRDefault="00506287" w:rsidP="00506287">
      <w:pPr>
        <w:pStyle w:val="Prrafodelista"/>
        <w:rPr>
          <w:rFonts w:ascii="Palatino Linotype" w:eastAsia="Times New Roman" w:hAnsi="Palatino Linotype" w:cs="Arial"/>
          <w:color w:val="000000" w:themeColor="text1"/>
          <w:sz w:val="24"/>
          <w:szCs w:val="24"/>
          <w:lang w:eastAsia="es-MX"/>
        </w:rPr>
      </w:pPr>
    </w:p>
    <w:p w:rsidR="00506287" w:rsidRPr="005D0B8C" w:rsidRDefault="00506287" w:rsidP="00506287">
      <w:pPr>
        <w:spacing w:after="0" w:line="360" w:lineRule="auto"/>
        <w:ind w:left="360" w:right="49"/>
        <w:jc w:val="both"/>
        <w:rPr>
          <w:rFonts w:ascii="Palatino Linotype" w:eastAsia="Times New Roman" w:hAnsi="Palatino Linotype" w:cs="Arial"/>
          <w:color w:val="000000" w:themeColor="text1"/>
          <w:sz w:val="24"/>
          <w:szCs w:val="24"/>
          <w:lang w:eastAsia="es-MX"/>
        </w:rPr>
      </w:pPr>
    </w:p>
    <w:p w:rsidR="00486D45" w:rsidRDefault="00486D45" w:rsidP="00B03A5A">
      <w:pPr>
        <w:pStyle w:val="Prrafodelista"/>
        <w:spacing w:line="360" w:lineRule="auto"/>
        <w:ind w:left="360"/>
        <w:jc w:val="both"/>
        <w:rPr>
          <w:rFonts w:ascii="Palatino Linotype" w:hAnsi="Palatino Linotype"/>
          <w:color w:val="000000" w:themeColor="text1"/>
          <w:sz w:val="24"/>
          <w:szCs w:val="24"/>
        </w:rPr>
      </w:pPr>
    </w:p>
    <w:p w:rsidR="00506287" w:rsidRPr="005D0B8C" w:rsidRDefault="00506287" w:rsidP="00B03A5A">
      <w:pPr>
        <w:pStyle w:val="Prrafodelista"/>
        <w:spacing w:line="360" w:lineRule="auto"/>
        <w:ind w:left="360"/>
        <w:jc w:val="both"/>
        <w:rPr>
          <w:rFonts w:ascii="Palatino Linotype" w:hAnsi="Palatino Linotype"/>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506287" w:rsidTr="00506287">
        <w:tc>
          <w:tcPr>
            <w:tcW w:w="4531" w:type="dxa"/>
          </w:tcPr>
          <w:p w:rsidR="00506287" w:rsidRPr="00506287" w:rsidRDefault="00506287" w:rsidP="00506287">
            <w:pPr>
              <w:pStyle w:val="Prrafodelista"/>
              <w:spacing w:line="360" w:lineRule="auto"/>
              <w:ind w:left="0"/>
              <w:jc w:val="center"/>
              <w:rPr>
                <w:rFonts w:ascii="Palatino Linotype" w:eastAsia="Calibri" w:hAnsi="Palatino Linotype" w:cs="Arial"/>
                <w:b/>
                <w:color w:val="000000" w:themeColor="text1"/>
              </w:rPr>
            </w:pPr>
            <w:r w:rsidRPr="00506287">
              <w:rPr>
                <w:rFonts w:ascii="Palatino Linotype" w:eastAsia="Calibri" w:hAnsi="Palatino Linotype" w:cs="Arial"/>
                <w:b/>
                <w:color w:val="000000" w:themeColor="text1"/>
              </w:rPr>
              <w:t>JOSÉ GUADALUPE LUNA HERNÁNDEZ</w:t>
            </w:r>
          </w:p>
          <w:p w:rsidR="00506287" w:rsidRDefault="00506287" w:rsidP="00506287">
            <w:pPr>
              <w:pStyle w:val="Prrafodelista"/>
              <w:spacing w:line="360" w:lineRule="auto"/>
              <w:ind w:left="0"/>
              <w:jc w:val="center"/>
              <w:rPr>
                <w:rFonts w:ascii="Palatino Linotype" w:eastAsia="Calibri" w:hAnsi="Palatino Linotype" w:cs="Arial"/>
                <w:b/>
                <w:color w:val="000000" w:themeColor="text1"/>
              </w:rPr>
            </w:pPr>
          </w:p>
          <w:p w:rsidR="00506287" w:rsidRPr="00506287" w:rsidRDefault="00506287" w:rsidP="00506287">
            <w:pPr>
              <w:pStyle w:val="Prrafodelista"/>
              <w:spacing w:line="360" w:lineRule="auto"/>
              <w:ind w:left="0"/>
              <w:jc w:val="center"/>
              <w:rPr>
                <w:rFonts w:ascii="Palatino Linotype" w:eastAsia="Calibri" w:hAnsi="Palatino Linotype" w:cs="Arial"/>
                <w:b/>
                <w:color w:val="000000" w:themeColor="text1"/>
              </w:rPr>
            </w:pPr>
          </w:p>
          <w:p w:rsidR="00506287" w:rsidRPr="00506287" w:rsidRDefault="00506287" w:rsidP="00506287">
            <w:pPr>
              <w:pStyle w:val="Prrafodelista"/>
              <w:spacing w:line="360" w:lineRule="auto"/>
              <w:ind w:left="0"/>
              <w:jc w:val="center"/>
              <w:rPr>
                <w:rFonts w:ascii="Palatino Linotype" w:eastAsia="Calibri" w:hAnsi="Palatino Linotype" w:cs="Arial"/>
                <w:b/>
                <w:color w:val="000000" w:themeColor="text1"/>
              </w:rPr>
            </w:pPr>
            <w:r w:rsidRPr="00506287">
              <w:rPr>
                <w:rFonts w:ascii="Palatino Linotype" w:eastAsia="Calibri" w:hAnsi="Palatino Linotype" w:cs="Arial"/>
                <w:b/>
                <w:color w:val="000000" w:themeColor="text1"/>
              </w:rPr>
              <w:t>COMISIONADO</w:t>
            </w:r>
          </w:p>
          <w:p w:rsidR="00506287" w:rsidRPr="00506287" w:rsidRDefault="00506287" w:rsidP="00506287">
            <w:pPr>
              <w:pStyle w:val="Prrafodelista"/>
              <w:spacing w:line="360" w:lineRule="auto"/>
              <w:ind w:left="0"/>
              <w:jc w:val="center"/>
              <w:rPr>
                <w:rFonts w:ascii="Palatino Linotype" w:hAnsi="Palatino Linotype" w:cs="Arial"/>
                <w:b/>
                <w:color w:val="000000" w:themeColor="text1"/>
              </w:rPr>
            </w:pPr>
            <w:r w:rsidRPr="00506287">
              <w:rPr>
                <w:rFonts w:ascii="Palatino Linotype" w:hAnsi="Palatino Linotype" w:cs="Arial"/>
                <w:b/>
                <w:color w:val="000000" w:themeColor="text1"/>
              </w:rPr>
              <w:t>(RÚBRICA)</w:t>
            </w:r>
          </w:p>
          <w:p w:rsidR="00506287" w:rsidRPr="00506287" w:rsidRDefault="00506287" w:rsidP="00D31E87">
            <w:pPr>
              <w:rPr>
                <w:rFonts w:ascii="Palatino Linotype" w:hAnsi="Palatino Linotype"/>
                <w:color w:val="000000" w:themeColor="text1"/>
              </w:rPr>
            </w:pPr>
          </w:p>
        </w:tc>
        <w:tc>
          <w:tcPr>
            <w:tcW w:w="4297" w:type="dxa"/>
          </w:tcPr>
          <w:p w:rsidR="00506287" w:rsidRPr="00506287" w:rsidRDefault="00506287" w:rsidP="00506287">
            <w:pPr>
              <w:pStyle w:val="Prrafodelista"/>
              <w:spacing w:line="360" w:lineRule="auto"/>
              <w:ind w:left="0"/>
              <w:jc w:val="center"/>
              <w:rPr>
                <w:rFonts w:ascii="Palatino Linotype" w:hAnsi="Palatino Linotype"/>
                <w:b/>
                <w:color w:val="000000" w:themeColor="text1"/>
              </w:rPr>
            </w:pPr>
            <w:r w:rsidRPr="00506287">
              <w:rPr>
                <w:rFonts w:ascii="Palatino Linotype" w:hAnsi="Palatino Linotype"/>
                <w:b/>
                <w:color w:val="000000" w:themeColor="text1"/>
              </w:rPr>
              <w:t xml:space="preserve">LUIS GUSTAVO PARRA NORIEGA </w:t>
            </w:r>
          </w:p>
          <w:p w:rsidR="00506287" w:rsidRPr="00506287" w:rsidRDefault="00506287" w:rsidP="00506287">
            <w:pPr>
              <w:pStyle w:val="Prrafodelista"/>
              <w:spacing w:line="360" w:lineRule="auto"/>
              <w:ind w:left="0"/>
              <w:jc w:val="center"/>
              <w:rPr>
                <w:rFonts w:ascii="Palatino Linotype" w:hAnsi="Palatino Linotype"/>
                <w:b/>
                <w:color w:val="000000" w:themeColor="text1"/>
              </w:rPr>
            </w:pPr>
          </w:p>
          <w:p w:rsidR="00506287" w:rsidRPr="00506287" w:rsidRDefault="00506287" w:rsidP="00506287">
            <w:pPr>
              <w:pStyle w:val="Prrafodelista"/>
              <w:spacing w:line="360" w:lineRule="auto"/>
              <w:ind w:left="0"/>
              <w:jc w:val="center"/>
              <w:rPr>
                <w:rFonts w:ascii="Palatino Linotype" w:eastAsia="Calibri" w:hAnsi="Palatino Linotype" w:cs="Arial"/>
                <w:b/>
                <w:color w:val="000000" w:themeColor="text1"/>
              </w:rPr>
            </w:pPr>
          </w:p>
          <w:p w:rsidR="00506287" w:rsidRDefault="00506287" w:rsidP="00506287">
            <w:pPr>
              <w:pStyle w:val="Prrafodelista"/>
              <w:spacing w:line="360" w:lineRule="auto"/>
              <w:ind w:left="0"/>
              <w:jc w:val="center"/>
              <w:rPr>
                <w:rFonts w:ascii="Palatino Linotype" w:eastAsia="Calibri" w:hAnsi="Palatino Linotype" w:cs="Arial"/>
                <w:b/>
                <w:color w:val="000000" w:themeColor="text1"/>
              </w:rPr>
            </w:pPr>
            <w:r w:rsidRPr="00506287">
              <w:rPr>
                <w:rFonts w:ascii="Palatino Linotype" w:eastAsia="Calibri" w:hAnsi="Palatino Linotype" w:cs="Arial"/>
                <w:b/>
                <w:color w:val="000000" w:themeColor="text1"/>
              </w:rPr>
              <w:t>COMISIONADO</w:t>
            </w:r>
          </w:p>
          <w:p w:rsidR="00506287" w:rsidRPr="00506287" w:rsidRDefault="00506287" w:rsidP="00506287">
            <w:pPr>
              <w:pStyle w:val="Prrafodelista"/>
              <w:spacing w:line="360" w:lineRule="auto"/>
              <w:ind w:left="0"/>
              <w:jc w:val="center"/>
              <w:rPr>
                <w:rFonts w:ascii="Palatino Linotype" w:hAnsi="Palatino Linotype" w:cs="Arial"/>
                <w:b/>
                <w:color w:val="000000" w:themeColor="text1"/>
              </w:rPr>
            </w:pPr>
            <w:r w:rsidRPr="00506287">
              <w:rPr>
                <w:rFonts w:ascii="Palatino Linotype" w:hAnsi="Palatino Linotype" w:cs="Arial"/>
                <w:b/>
                <w:color w:val="000000" w:themeColor="text1"/>
              </w:rPr>
              <w:t>(RÚBRICA)</w:t>
            </w:r>
          </w:p>
          <w:p w:rsidR="00506287" w:rsidRPr="00506287" w:rsidRDefault="00506287" w:rsidP="00506287">
            <w:pPr>
              <w:pStyle w:val="Prrafodelista"/>
              <w:spacing w:line="360" w:lineRule="auto"/>
              <w:ind w:left="0"/>
              <w:jc w:val="center"/>
              <w:rPr>
                <w:rFonts w:ascii="Palatino Linotype" w:eastAsia="Calibri" w:hAnsi="Palatino Linotype" w:cs="Arial"/>
                <w:b/>
                <w:color w:val="000000" w:themeColor="text1"/>
              </w:rPr>
            </w:pPr>
          </w:p>
          <w:p w:rsidR="00506287" w:rsidRPr="00506287" w:rsidRDefault="00506287" w:rsidP="00D31E87">
            <w:pPr>
              <w:rPr>
                <w:rFonts w:ascii="Palatino Linotype" w:hAnsi="Palatino Linotype"/>
                <w:color w:val="000000" w:themeColor="text1"/>
              </w:rPr>
            </w:pPr>
          </w:p>
        </w:tc>
      </w:tr>
    </w:tbl>
    <w:p w:rsidR="003D3B5C" w:rsidRPr="005D0B8C" w:rsidRDefault="003D3B5C" w:rsidP="00D31E87">
      <w:pPr>
        <w:rPr>
          <w:rFonts w:ascii="Palatino Linotype" w:hAnsi="Palatino Linotype"/>
          <w:color w:val="000000" w:themeColor="text1"/>
          <w:sz w:val="24"/>
          <w:szCs w:val="24"/>
        </w:rPr>
      </w:pPr>
      <w:bookmarkStart w:id="5" w:name="_GoBack"/>
      <w:bookmarkEnd w:id="5"/>
    </w:p>
    <w:sectPr w:rsidR="003D3B5C" w:rsidRPr="005D0B8C" w:rsidSect="00AD4277">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055" w:rsidRDefault="00EF2055" w:rsidP="00DC559A">
      <w:pPr>
        <w:spacing w:after="0" w:line="240" w:lineRule="auto"/>
      </w:pPr>
      <w:r>
        <w:separator/>
      </w:r>
    </w:p>
  </w:endnote>
  <w:endnote w:type="continuationSeparator" w:id="0">
    <w:p w:rsidR="00EF2055" w:rsidRDefault="00EF2055"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rPr>
      <w:id w:val="32855158"/>
      <w:docPartObj>
        <w:docPartGallery w:val="Page Numbers (Bottom of Page)"/>
        <w:docPartUnique/>
      </w:docPartObj>
    </w:sdtPr>
    <w:sdtEndPr>
      <w:rPr>
        <w:rFonts w:asciiTheme="minorHAnsi" w:hAnsiTheme="minorHAnsi"/>
        <w:sz w:val="22"/>
      </w:rPr>
    </w:sdtEndPr>
    <w:sdtContent>
      <w:sdt>
        <w:sdtPr>
          <w:rPr>
            <w:rFonts w:ascii="Palatino Linotype" w:hAnsi="Palatino Linotype"/>
            <w:sz w:val="20"/>
          </w:rPr>
          <w:id w:val="-1769616900"/>
          <w:docPartObj>
            <w:docPartGallery w:val="Page Numbers (Top of Page)"/>
            <w:docPartUnique/>
          </w:docPartObj>
        </w:sdtPr>
        <w:sdtEndPr>
          <w:rPr>
            <w:rFonts w:asciiTheme="minorHAnsi" w:hAnsiTheme="minorHAnsi"/>
            <w:sz w:val="22"/>
          </w:rPr>
        </w:sdtEndPr>
        <w:sdtContent>
          <w:p w:rsidR="00D62D08" w:rsidRDefault="00D62D08">
            <w:pPr>
              <w:pStyle w:val="Piedepgina"/>
              <w:jc w:val="right"/>
            </w:pPr>
            <w:r w:rsidRPr="007428B3">
              <w:rPr>
                <w:rFonts w:ascii="Palatino Linotype" w:hAnsi="Palatino Linotype"/>
                <w:sz w:val="20"/>
                <w:lang w:val="es-ES"/>
              </w:rPr>
              <w:t xml:space="preserve">Página </w:t>
            </w:r>
            <w:r w:rsidRPr="007428B3">
              <w:rPr>
                <w:rFonts w:ascii="Palatino Linotype" w:hAnsi="Palatino Linotype"/>
                <w:b/>
                <w:bCs/>
                <w:szCs w:val="24"/>
              </w:rPr>
              <w:fldChar w:fldCharType="begin"/>
            </w:r>
            <w:r w:rsidRPr="007428B3">
              <w:rPr>
                <w:rFonts w:ascii="Palatino Linotype" w:hAnsi="Palatino Linotype"/>
                <w:b/>
                <w:bCs/>
                <w:sz w:val="20"/>
              </w:rPr>
              <w:instrText>PAGE</w:instrText>
            </w:r>
            <w:r w:rsidRPr="007428B3">
              <w:rPr>
                <w:rFonts w:ascii="Palatino Linotype" w:hAnsi="Palatino Linotype"/>
                <w:b/>
                <w:bCs/>
                <w:szCs w:val="24"/>
              </w:rPr>
              <w:fldChar w:fldCharType="separate"/>
            </w:r>
            <w:r w:rsidR="000254B8">
              <w:rPr>
                <w:rFonts w:ascii="Palatino Linotype" w:hAnsi="Palatino Linotype"/>
                <w:b/>
                <w:bCs/>
                <w:noProof/>
                <w:sz w:val="20"/>
              </w:rPr>
              <w:t>13</w:t>
            </w:r>
            <w:r w:rsidRPr="007428B3">
              <w:rPr>
                <w:rFonts w:ascii="Palatino Linotype" w:hAnsi="Palatino Linotype"/>
                <w:b/>
                <w:bCs/>
                <w:szCs w:val="24"/>
              </w:rPr>
              <w:fldChar w:fldCharType="end"/>
            </w:r>
            <w:r w:rsidRPr="007428B3">
              <w:rPr>
                <w:rFonts w:ascii="Palatino Linotype" w:hAnsi="Palatino Linotype"/>
                <w:sz w:val="20"/>
                <w:lang w:val="es-ES"/>
              </w:rPr>
              <w:t xml:space="preserve"> de </w:t>
            </w:r>
            <w:r w:rsidRPr="007428B3">
              <w:rPr>
                <w:rFonts w:ascii="Palatino Linotype" w:hAnsi="Palatino Linotype"/>
                <w:b/>
                <w:bCs/>
                <w:szCs w:val="24"/>
              </w:rPr>
              <w:fldChar w:fldCharType="begin"/>
            </w:r>
            <w:r w:rsidRPr="007428B3">
              <w:rPr>
                <w:rFonts w:ascii="Palatino Linotype" w:hAnsi="Palatino Linotype"/>
                <w:b/>
                <w:bCs/>
                <w:sz w:val="20"/>
              </w:rPr>
              <w:instrText>NUMPAGES</w:instrText>
            </w:r>
            <w:r w:rsidRPr="007428B3">
              <w:rPr>
                <w:rFonts w:ascii="Palatino Linotype" w:hAnsi="Palatino Linotype"/>
                <w:b/>
                <w:bCs/>
                <w:szCs w:val="24"/>
              </w:rPr>
              <w:fldChar w:fldCharType="separate"/>
            </w:r>
            <w:r w:rsidR="000254B8">
              <w:rPr>
                <w:rFonts w:ascii="Palatino Linotype" w:hAnsi="Palatino Linotype"/>
                <w:b/>
                <w:bCs/>
                <w:noProof/>
                <w:sz w:val="20"/>
              </w:rPr>
              <w:t>13</w:t>
            </w:r>
            <w:r w:rsidRPr="007428B3">
              <w:rPr>
                <w:rFonts w:ascii="Palatino Linotype" w:hAnsi="Palatino Linotype"/>
                <w:b/>
                <w:bCs/>
                <w:szCs w:val="24"/>
              </w:rPr>
              <w:fldChar w:fldCharType="end"/>
            </w:r>
          </w:p>
        </w:sdtContent>
      </w:sdt>
    </w:sdtContent>
  </w:sdt>
  <w:p w:rsidR="00D62D08" w:rsidRDefault="00D62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055" w:rsidRDefault="00EF2055" w:rsidP="00DC559A">
      <w:pPr>
        <w:spacing w:after="0" w:line="240" w:lineRule="auto"/>
      </w:pPr>
      <w:r>
        <w:separator/>
      </w:r>
    </w:p>
  </w:footnote>
  <w:footnote w:type="continuationSeparator" w:id="0">
    <w:p w:rsidR="00EF2055" w:rsidRDefault="00EF2055" w:rsidP="00DC559A">
      <w:pPr>
        <w:spacing w:after="0" w:line="240" w:lineRule="auto"/>
      </w:pPr>
      <w:r>
        <w:continuationSeparator/>
      </w:r>
    </w:p>
  </w:footnote>
  <w:footnote w:id="1">
    <w:p w:rsidR="00B03A5A" w:rsidRPr="00D431BE" w:rsidRDefault="00B03A5A" w:rsidP="00B03A5A">
      <w:pPr>
        <w:jc w:val="both"/>
        <w:rPr>
          <w:rFonts w:ascii="Palatino Linotype" w:eastAsia="Times New Roman" w:hAnsi="Palatino Linotype" w:cs="Times New Roman"/>
          <w:color w:val="000000" w:themeColor="text1"/>
          <w:sz w:val="20"/>
          <w:szCs w:val="20"/>
          <w:lang w:val="es-ES_tradnl"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eastAsia="Times New Roman" w:hAnsi="Palatino Linotype" w:cs="Arial"/>
          <w:color w:val="000000" w:themeColor="text1"/>
          <w:sz w:val="20"/>
          <w:szCs w:val="20"/>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431BE">
        <w:rPr>
          <w:rFonts w:ascii="Palatino Linotype" w:eastAsia="Times New Roman" w:hAnsi="Palatino Linotype" w:cs="Arial"/>
          <w:color w:val="000000" w:themeColor="text1"/>
          <w:sz w:val="20"/>
          <w:szCs w:val="20"/>
          <w:lang w:val="es-ES_tradnl" w:eastAsia="es-ES_tradnl"/>
        </w:rPr>
        <w:t>tests</w:t>
      </w:r>
      <w:proofErr w:type="spellEnd"/>
      <w:r w:rsidRPr="00D431BE">
        <w:rPr>
          <w:rFonts w:ascii="Palatino Linotype" w:eastAsia="Times New Roman" w:hAnsi="Palatino Linotype" w:cs="Arial"/>
          <w:color w:val="000000" w:themeColor="text1"/>
          <w:sz w:val="20"/>
          <w:szCs w:val="20"/>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431BE">
        <w:rPr>
          <w:rFonts w:ascii="Palatino Linotype" w:eastAsia="Times New Roman" w:hAnsi="Palatino Linotype" w:cs="Arial"/>
          <w:color w:val="000000" w:themeColor="text1"/>
          <w:sz w:val="20"/>
          <w:szCs w:val="20"/>
          <w:lang w:val="es-ES_tradnl" w:eastAsia="es-ES_tradnl"/>
        </w:rPr>
        <w:t>Lluy</w:t>
      </w:r>
      <w:proofErr w:type="spellEnd"/>
      <w:r w:rsidRPr="00D431BE">
        <w:rPr>
          <w:rFonts w:ascii="Palatino Linotype" w:eastAsia="Times New Roman" w:hAnsi="Palatino Linotype" w:cs="Arial"/>
          <w:color w:val="000000" w:themeColor="text1"/>
          <w:sz w:val="20"/>
          <w:szCs w:val="20"/>
          <w:lang w:val="es-ES_tradnl" w:eastAsia="es-ES_tradnl"/>
        </w:rPr>
        <w:t xml:space="preserve"> y otros contra Ecuador. Excepciones preliminares, fondo, reparaciones y costas. Sentencia del 01 de septiembre de 2015. Párr. 256.  </w:t>
      </w:r>
    </w:p>
  </w:footnote>
  <w:footnote w:id="2">
    <w:p w:rsidR="00B03A5A" w:rsidRPr="00D431BE" w:rsidRDefault="00B03A5A" w:rsidP="00B03A5A">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w:t>
      </w:r>
      <w:proofErr w:type="spellStart"/>
      <w:r w:rsidRPr="00D431BE">
        <w:rPr>
          <w:rFonts w:ascii="Palatino Linotype" w:hAnsi="Palatino Linotype"/>
          <w:color w:val="000000" w:themeColor="text1"/>
          <w:lang w:val="es-ES"/>
        </w:rPr>
        <w:t>BVerfGE</w:t>
      </w:r>
      <w:proofErr w:type="spellEnd"/>
      <w:r w:rsidRPr="00D431BE">
        <w:rPr>
          <w:rFonts w:ascii="Palatino Linotype" w:hAnsi="Palatino Linotype"/>
          <w:color w:val="000000" w:themeColor="text1"/>
          <w:lang w:val="es-ES"/>
        </w:rPr>
        <w:t xml:space="preserve"> 93, 266). En ALÁEZ CORRAL, Benito y ÁLVAREZ </w:t>
      </w:r>
      <w:proofErr w:type="spellStart"/>
      <w:r w:rsidRPr="00D431BE">
        <w:rPr>
          <w:rFonts w:ascii="Palatino Linotype" w:hAnsi="Palatino Linotype"/>
          <w:color w:val="000000" w:themeColor="text1"/>
          <w:lang w:val="es-ES"/>
        </w:rPr>
        <w:t>ÁLVAREZ</w:t>
      </w:r>
      <w:proofErr w:type="spellEnd"/>
      <w:r w:rsidRPr="00D431BE">
        <w:rPr>
          <w:rFonts w:ascii="Palatino Linotype" w:hAnsi="Palatino Linotype"/>
          <w:color w:val="000000" w:themeColor="text1"/>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3">
    <w:p w:rsidR="00B03A5A" w:rsidRPr="005404C6" w:rsidRDefault="00B03A5A" w:rsidP="00B03A5A">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4">
    <w:p w:rsidR="00B03A5A" w:rsidRPr="00790088" w:rsidRDefault="00B03A5A" w:rsidP="00B03A5A">
      <w:pPr>
        <w:jc w:val="both"/>
        <w:rPr>
          <w:rFonts w:ascii="Calibri" w:eastAsia="Times New Roman" w:hAnsi="Calibri" w:cs="Times New Roman"/>
          <w:b/>
          <w:bCs/>
          <w:color w:val="000000"/>
          <w:sz w:val="26"/>
          <w:szCs w:val="26"/>
          <w:lang w:val="es-ES_tradnl" w:eastAsia="es-ES_tradnl"/>
        </w:rPr>
      </w:pPr>
      <w:r w:rsidRPr="005404C6">
        <w:rPr>
          <w:rStyle w:val="Refdenotaalpie"/>
          <w:rFonts w:ascii="Palatino Linotype" w:hAnsi="Palatino Linotype"/>
          <w:sz w:val="20"/>
          <w:szCs w:val="20"/>
        </w:rPr>
        <w:footnoteRef/>
      </w:r>
      <w:r w:rsidRPr="005404C6">
        <w:rPr>
          <w:rFonts w:ascii="Palatino Linotype" w:hAnsi="Palatino Linotype"/>
          <w:sz w:val="20"/>
          <w:szCs w:val="20"/>
        </w:rPr>
        <w:t xml:space="preserve"> </w:t>
      </w:r>
      <w:r w:rsidRPr="005404C6">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5404C6">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w:t>
      </w:r>
      <w:r w:rsidRPr="00186DB9">
        <w:rPr>
          <w:rFonts w:ascii="Palatino Linotype" w:eastAsia="Times New Roman" w:hAnsi="Palatino Linotype" w:cs="Times New Roman"/>
          <w:color w:val="000000" w:themeColor="text1"/>
          <w:sz w:val="20"/>
          <w:szCs w:val="20"/>
          <w:lang w:eastAsia="es-ES_tradnl"/>
        </w:rPr>
        <w:t xml:space="preserve">límites </w:t>
      </w:r>
      <w:r w:rsidRPr="002F1BA4">
        <w:rPr>
          <w:rFonts w:ascii="Palatino Linotype" w:eastAsia="Times New Roman" w:hAnsi="Palatino Linotype" w:cs="Times New Roman"/>
          <w:color w:val="000000" w:themeColor="text1"/>
          <w:sz w:val="20"/>
          <w:szCs w:val="20"/>
          <w:lang w:eastAsia="es-ES_tradnl"/>
        </w:rPr>
        <w:t>encierran una colisión que debe resolverse con ayuda de un método específico denominado </w:t>
      </w:r>
      <w:r w:rsidRPr="002F1BA4">
        <w:rPr>
          <w:rFonts w:ascii="Palatino Linotype" w:eastAsia="Times New Roman" w:hAnsi="Palatino Linotype" w:cs="Times New Roman"/>
          <w:b/>
          <w:bCs/>
          <w:color w:val="000000" w:themeColor="text1"/>
          <w:sz w:val="20"/>
          <w:szCs w:val="20"/>
          <w:shd w:val="clear" w:color="auto" w:fill="FFFF00"/>
          <w:lang w:eastAsia="es-ES_tradnl"/>
        </w:rPr>
        <w:t>test de proporcionalidad.</w:t>
      </w:r>
      <w:r w:rsidRPr="002F1BA4">
        <w:rPr>
          <w:rFonts w:ascii="Palatino Linotype" w:eastAsia="Times New Roman" w:hAnsi="Palatino Linotype" w:cs="Times New Roman"/>
          <w:color w:val="000000" w:themeColor="text1"/>
          <w:sz w:val="20"/>
          <w:szCs w:val="20"/>
          <w:lang w:eastAsia="es-ES_tradnl"/>
        </w:rPr>
        <w:t> En este</w:t>
      </w:r>
      <w:r w:rsidRPr="00351C03">
        <w:rPr>
          <w:rFonts w:ascii="Palatino Linotype" w:eastAsia="Times New Roman" w:hAnsi="Palatino Linotype" w:cs="Times New Roman"/>
          <w:color w:val="000000" w:themeColor="text1"/>
          <w:sz w:val="20"/>
          <w:szCs w:val="20"/>
          <w:lang w:eastAsia="es-ES_tradnl"/>
        </w:rPr>
        <w:t xml:space="preserv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 </w:t>
      </w:r>
      <w:r w:rsidRPr="00351C03">
        <w:rPr>
          <w:rFonts w:ascii="Palatino Linotype" w:eastAsia="Times New Roman" w:hAnsi="Palatino Linotype" w:cs="Times New Roman"/>
          <w:b/>
          <w:bCs/>
          <w:color w:val="000000" w:themeColor="text1"/>
          <w:sz w:val="20"/>
          <w:szCs w:val="20"/>
          <w:shd w:val="clear" w:color="auto" w:fill="FFFF00"/>
          <w:lang w:eastAsia="es-ES_tradnl"/>
        </w:rPr>
        <w:t>test de proporcionalidad,</w:t>
      </w:r>
      <w:r w:rsidRPr="00351C03">
        <w:rPr>
          <w:rFonts w:ascii="Palatino Linotype" w:eastAsia="Times New Roman" w:hAnsi="Palatino Linotype" w:cs="Times New Roman"/>
          <w:color w:val="000000" w:themeColor="text1"/>
          <w:sz w:val="20"/>
          <w:szCs w:val="20"/>
          <w:lang w:eastAsia="es-ES_tradnl"/>
        </w:rPr>
        <w:t> el derecho fundamental preservará su contenido inicial o prima facie. En cambio, si la ley que limita al derecho se encuentra justificada a la luz del </w:t>
      </w:r>
      <w:r w:rsidRPr="00351C03">
        <w:rPr>
          <w:rFonts w:ascii="Palatino Linotype" w:eastAsia="Times New Roman" w:hAnsi="Palatino Linotype" w:cs="Times New Roman"/>
          <w:b/>
          <w:bCs/>
          <w:color w:val="000000" w:themeColor="text1"/>
          <w:sz w:val="20"/>
          <w:szCs w:val="20"/>
          <w:shd w:val="clear" w:color="auto" w:fill="FFFF00"/>
          <w:lang w:eastAsia="es-ES_tradnl"/>
        </w:rPr>
        <w:t>test de proporcionalidad,</w:t>
      </w:r>
      <w:r w:rsidRPr="00351C03">
        <w:rPr>
          <w:rFonts w:ascii="Palatino Linotype" w:eastAsia="Times New Roman" w:hAnsi="Palatino Linotype" w:cs="Times New Roman"/>
          <w:color w:val="000000" w:themeColor="text1"/>
          <w:sz w:val="20"/>
          <w:szCs w:val="20"/>
          <w:lang w:eastAsia="es-ES_tradnl"/>
        </w:rPr>
        <w:t> el contenido definitivo o resultante del derecho será más reducido que el contenido inicial del mismo. (TA) Tesis: 1a. CCLXV/2016 (10a.)</w:t>
      </w:r>
      <w:r w:rsidRPr="00351C03">
        <w:rPr>
          <w:rFonts w:ascii="Palatino Linotype" w:hAnsi="Palatino Linotype" w:cs="Verdana"/>
          <w:color w:val="000000" w:themeColor="text1"/>
          <w:sz w:val="20"/>
          <w:szCs w:val="20"/>
        </w:rPr>
        <w:t xml:space="preserve"> </w:t>
      </w:r>
      <w:r w:rsidRPr="00351C03">
        <w:rPr>
          <w:rFonts w:ascii="Palatino Linotype" w:eastAsia="Times New Roman" w:hAnsi="Palatino Linotype" w:cs="Times New Roman"/>
          <w:color w:val="000000" w:themeColor="text1"/>
          <w:sz w:val="20"/>
          <w:szCs w:val="20"/>
          <w:lang w:eastAsia="es-ES_tradnl"/>
        </w:rPr>
        <w:t xml:space="preserve">Primera Sala de la SCJN. Semanario Judicial de la Federación y su </w:t>
      </w:r>
      <w:r w:rsidRPr="00351C03">
        <w:rPr>
          <w:rFonts w:ascii="Palatino Linotype" w:eastAsia="Times New Roman" w:hAnsi="Palatino Linotype" w:cs="Times New Roman"/>
          <w:color w:val="000000"/>
          <w:sz w:val="20"/>
          <w:szCs w:val="20"/>
          <w:lang w:eastAsia="es-ES_tradnl"/>
        </w:rPr>
        <w:t xml:space="preserve">Gaceta, Novena Época, </w:t>
      </w:r>
      <w:r w:rsidRPr="00351C03">
        <w:rPr>
          <w:rFonts w:ascii="Palatino Linotype" w:hAnsi="Palatino Linotype" w:cs="Verdana"/>
          <w:color w:val="343434"/>
          <w:sz w:val="20"/>
          <w:szCs w:val="20"/>
        </w:rPr>
        <w:t>Libro 36, Noviembre de 2016, Tomo II,</w:t>
      </w:r>
      <w:r w:rsidRPr="00351C03">
        <w:rPr>
          <w:rFonts w:ascii="Palatino Linotype" w:eastAsia="Times New Roman" w:hAnsi="Palatino Linotype" w:cs="Times New Roman"/>
          <w:color w:val="000000"/>
          <w:sz w:val="20"/>
          <w:szCs w:val="20"/>
          <w:lang w:eastAsia="es-ES_tradnl"/>
        </w:rPr>
        <w:t xml:space="preserve"> pág. 902.</w:t>
      </w:r>
    </w:p>
  </w:footnote>
  <w:footnote w:id="5">
    <w:p w:rsidR="00B03A5A" w:rsidRPr="004E0E66" w:rsidRDefault="00B03A5A" w:rsidP="00B03A5A">
      <w:pPr>
        <w:jc w:val="both"/>
        <w:rPr>
          <w:rFonts w:ascii="Palatino Linotype" w:hAnsi="Palatino Linotype"/>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color w:val="000000" w:themeColor="text1"/>
          <w:sz w:val="20"/>
          <w:szCs w:val="20"/>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4E0E66">
        <w:rPr>
          <w:rFonts w:ascii="Palatino Linotype" w:eastAsia="Times New Roman" w:hAnsi="Palatino Linotype" w:cs="Arial"/>
          <w:color w:val="000000" w:themeColor="text1"/>
          <w:sz w:val="20"/>
          <w:szCs w:val="20"/>
          <w:lang w:eastAsia="es-ES_tradnl"/>
        </w:rPr>
        <w:t xml:space="preserve"> Tesis: 1a. CCLXIII/2016 (10a.) Primera Sala SCJN, Gaceta del Semanario Judicial de la Federación, Décima Época, Libro 36, Noviembre de 2016, Tomo II, </w:t>
      </w:r>
      <w:proofErr w:type="spellStart"/>
      <w:r w:rsidRPr="004E0E66">
        <w:rPr>
          <w:rFonts w:ascii="Palatino Linotype" w:eastAsia="Times New Roman" w:hAnsi="Palatino Linotype" w:cs="Arial"/>
          <w:color w:val="000000" w:themeColor="text1"/>
          <w:sz w:val="20"/>
          <w:szCs w:val="20"/>
          <w:lang w:eastAsia="es-ES_tradnl"/>
        </w:rPr>
        <w:t>Pag</w:t>
      </w:r>
      <w:proofErr w:type="spellEnd"/>
      <w:r w:rsidRPr="004E0E66">
        <w:rPr>
          <w:rFonts w:ascii="Palatino Linotype" w:eastAsia="Times New Roman" w:hAnsi="Palatino Linotype" w:cs="Arial"/>
          <w:color w:val="000000" w:themeColor="text1"/>
          <w:sz w:val="20"/>
          <w:szCs w:val="20"/>
          <w:lang w:eastAsia="es-ES_tradnl"/>
        </w:rPr>
        <w:t>. 915.</w:t>
      </w:r>
    </w:p>
  </w:footnote>
  <w:footnote w:id="6">
    <w:p w:rsidR="00B03A5A" w:rsidRPr="004E0E66" w:rsidRDefault="00B03A5A" w:rsidP="00B03A5A">
      <w:pPr>
        <w:widowControl w:val="0"/>
        <w:autoSpaceDE w:val="0"/>
        <w:autoSpaceDN w:val="0"/>
        <w:adjustRightInd w:val="0"/>
        <w:jc w:val="both"/>
        <w:rPr>
          <w:rFonts w:ascii="Palatino Linotype" w:hAnsi="Palatino Linotype" w:cs="Arial"/>
          <w:b/>
          <w:bCs/>
          <w:color w:val="000000" w:themeColor="text1"/>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b/>
          <w:bCs/>
          <w:color w:val="000000" w:themeColor="text1"/>
          <w:sz w:val="20"/>
          <w:szCs w:val="20"/>
        </w:rPr>
        <w:t xml:space="preserve">SEGUNDA ETAPA DEL TEST DE PROPORCIONALIDAD. EXAMEN DE LA IDONEIDAD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un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CCLXVIII/2016 (10a.) Primera Sala de la SCJN, Décima Época, Gaceta del Semanario Judicial de la Federación, Libro 36, Noviembre de 2016, Tomo II, </w:t>
      </w:r>
      <w:proofErr w:type="spellStart"/>
      <w:r w:rsidRPr="004E0E66">
        <w:rPr>
          <w:rFonts w:ascii="Palatino Linotype" w:hAnsi="Palatino Linotype" w:cs="Arial"/>
          <w:color w:val="000000" w:themeColor="text1"/>
          <w:sz w:val="20"/>
          <w:szCs w:val="20"/>
        </w:rPr>
        <w:t>Pag</w:t>
      </w:r>
      <w:proofErr w:type="spellEnd"/>
      <w:r w:rsidRPr="004E0E66">
        <w:rPr>
          <w:rFonts w:ascii="Palatino Linotype" w:hAnsi="Palatino Linotype" w:cs="Arial"/>
          <w:color w:val="000000" w:themeColor="text1"/>
          <w:sz w:val="20"/>
          <w:szCs w:val="20"/>
        </w:rPr>
        <w:t>. 911.</w:t>
      </w:r>
    </w:p>
  </w:footnote>
  <w:footnote w:id="7">
    <w:p w:rsidR="00B03A5A" w:rsidRPr="004E0E66" w:rsidRDefault="00B03A5A" w:rsidP="00B03A5A">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4E0E66">
        <w:rPr>
          <w:rFonts w:ascii="Palatino Linotype" w:hAnsi="Palatino Linotype" w:cs="Arial"/>
          <w:b/>
          <w:bCs/>
          <w:color w:val="000000" w:themeColor="text1"/>
          <w:sz w:val="20"/>
          <w:szCs w:val="20"/>
        </w:rPr>
        <w:t xml:space="preserve">TERCERA ETAPA DEL TEST DE PROPORCIONALIDAD. EXAMEN DE LA NECESIDAD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w:t>
      </w:r>
      <w:proofErr w:type="spellStart"/>
      <w:r w:rsidRPr="004E0E66">
        <w:rPr>
          <w:rFonts w:ascii="Palatino Linotype" w:hAnsi="Palatino Linotype" w:cs="Arial"/>
          <w:color w:val="000000" w:themeColor="text1"/>
          <w:sz w:val="20"/>
          <w:szCs w:val="20"/>
        </w:rPr>
        <w:t>Pag</w:t>
      </w:r>
      <w:proofErr w:type="spellEnd"/>
      <w:r w:rsidRPr="004E0E66">
        <w:rPr>
          <w:rFonts w:ascii="Palatino Linotype" w:hAnsi="Palatino Linotype" w:cs="Arial"/>
          <w:color w:val="000000" w:themeColor="text1"/>
          <w:sz w:val="20"/>
          <w:szCs w:val="20"/>
        </w:rPr>
        <w:t>. 914.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0254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0254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D62D08" w:rsidRPr="007428B3" w:rsidRDefault="00D62D08">
    <w:pPr>
      <w:pStyle w:val="Encabezado"/>
      <w:rPr>
        <w:rFonts w:ascii="Palatino Linotype" w:hAnsi="Palatino Linotype"/>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0254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353"/>
    <w:multiLevelType w:val="hybridMultilevel"/>
    <w:tmpl w:val="2FAC3B02"/>
    <w:lvl w:ilvl="0" w:tplc="1846940C">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9C5D00"/>
    <w:multiLevelType w:val="hybridMultilevel"/>
    <w:tmpl w:val="111EFD6E"/>
    <w:lvl w:ilvl="0" w:tplc="4370AA74">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91449CC"/>
    <w:multiLevelType w:val="hybridMultilevel"/>
    <w:tmpl w:val="994A13C6"/>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725E60"/>
    <w:multiLevelType w:val="hybridMultilevel"/>
    <w:tmpl w:val="C7C8FB3C"/>
    <w:lvl w:ilvl="0" w:tplc="F9E09338">
      <w:start w:val="3"/>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723779"/>
    <w:multiLevelType w:val="hybridMultilevel"/>
    <w:tmpl w:val="B71A166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325E49"/>
    <w:multiLevelType w:val="hybridMultilevel"/>
    <w:tmpl w:val="BCAE0188"/>
    <w:lvl w:ilvl="0" w:tplc="DF4024D2">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F65299"/>
    <w:multiLevelType w:val="hybridMultilevel"/>
    <w:tmpl w:val="F2621F36"/>
    <w:lvl w:ilvl="0" w:tplc="2FCAD482">
      <w:start w:val="3"/>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C41196"/>
    <w:multiLevelType w:val="hybridMultilevel"/>
    <w:tmpl w:val="989E54C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4CB33AB"/>
    <w:multiLevelType w:val="hybridMultilevel"/>
    <w:tmpl w:val="B2C254E4"/>
    <w:lvl w:ilvl="0" w:tplc="3800BD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1803D3"/>
    <w:multiLevelType w:val="hybridMultilevel"/>
    <w:tmpl w:val="EB4AFD7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17F5A25"/>
    <w:multiLevelType w:val="hybridMultilevel"/>
    <w:tmpl w:val="1EA02BE6"/>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346C9F"/>
    <w:multiLevelType w:val="hybridMultilevel"/>
    <w:tmpl w:val="D54A2CE0"/>
    <w:lvl w:ilvl="0" w:tplc="EB862438">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C4A92"/>
    <w:multiLevelType w:val="hybridMultilevel"/>
    <w:tmpl w:val="935E0298"/>
    <w:lvl w:ilvl="0" w:tplc="8F623C1E">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6C2E003D"/>
    <w:multiLevelType w:val="hybridMultilevel"/>
    <w:tmpl w:val="91F2552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5540AE"/>
    <w:multiLevelType w:val="hybridMultilevel"/>
    <w:tmpl w:val="2914382E"/>
    <w:lvl w:ilvl="0" w:tplc="AADAED30">
      <w:start w:val="3"/>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3902F4"/>
    <w:multiLevelType w:val="hybridMultilevel"/>
    <w:tmpl w:val="D5EC640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450952"/>
    <w:multiLevelType w:val="hybridMultilevel"/>
    <w:tmpl w:val="6186A84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0B24AB"/>
    <w:multiLevelType w:val="hybridMultilevel"/>
    <w:tmpl w:val="BBC274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16C0F63"/>
    <w:multiLevelType w:val="hybridMultilevel"/>
    <w:tmpl w:val="F942E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0B63E3"/>
    <w:multiLevelType w:val="hybridMultilevel"/>
    <w:tmpl w:val="D7380D76"/>
    <w:lvl w:ilvl="0" w:tplc="BDAC028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5E06C18"/>
    <w:multiLevelType w:val="hybridMultilevel"/>
    <w:tmpl w:val="49FCC78E"/>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8A5DF2"/>
    <w:multiLevelType w:val="hybridMultilevel"/>
    <w:tmpl w:val="478E7862"/>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D916E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
  </w:num>
  <w:num w:numId="3">
    <w:abstractNumId w:val="29"/>
  </w:num>
  <w:num w:numId="4">
    <w:abstractNumId w:val="16"/>
  </w:num>
  <w:num w:numId="5">
    <w:abstractNumId w:val="40"/>
  </w:num>
  <w:num w:numId="6">
    <w:abstractNumId w:val="17"/>
  </w:num>
  <w:num w:numId="7">
    <w:abstractNumId w:val="37"/>
  </w:num>
  <w:num w:numId="8">
    <w:abstractNumId w:val="21"/>
  </w:num>
  <w:num w:numId="9">
    <w:abstractNumId w:val="12"/>
  </w:num>
  <w:num w:numId="10">
    <w:abstractNumId w:val="33"/>
  </w:num>
  <w:num w:numId="11">
    <w:abstractNumId w:val="28"/>
  </w:num>
  <w:num w:numId="12">
    <w:abstractNumId w:val="32"/>
  </w:num>
  <w:num w:numId="13">
    <w:abstractNumId w:val="23"/>
  </w:num>
  <w:num w:numId="14">
    <w:abstractNumId w:val="4"/>
  </w:num>
  <w:num w:numId="15">
    <w:abstractNumId w:val="11"/>
  </w:num>
  <w:num w:numId="16">
    <w:abstractNumId w:val="42"/>
  </w:num>
  <w:num w:numId="17">
    <w:abstractNumId w:val="44"/>
  </w:num>
  <w:num w:numId="18">
    <w:abstractNumId w:val="31"/>
  </w:num>
  <w:num w:numId="19">
    <w:abstractNumId w:val="27"/>
  </w:num>
  <w:num w:numId="20">
    <w:abstractNumId w:val="19"/>
  </w:num>
  <w:num w:numId="21">
    <w:abstractNumId w:val="10"/>
  </w:num>
  <w:num w:numId="22">
    <w:abstractNumId w:val="14"/>
  </w:num>
  <w:num w:numId="23">
    <w:abstractNumId w:val="7"/>
  </w:num>
  <w:num w:numId="24">
    <w:abstractNumId w:val="43"/>
  </w:num>
  <w:num w:numId="25">
    <w:abstractNumId w:val="1"/>
  </w:num>
  <w:num w:numId="26">
    <w:abstractNumId w:val="36"/>
  </w:num>
  <w:num w:numId="27">
    <w:abstractNumId w:val="18"/>
  </w:num>
  <w:num w:numId="28">
    <w:abstractNumId w:val="6"/>
  </w:num>
  <w:num w:numId="29">
    <w:abstractNumId w:val="22"/>
  </w:num>
  <w:num w:numId="30">
    <w:abstractNumId w:val="38"/>
  </w:num>
  <w:num w:numId="31">
    <w:abstractNumId w:val="5"/>
  </w:num>
  <w:num w:numId="32">
    <w:abstractNumId w:val="45"/>
  </w:num>
  <w:num w:numId="33">
    <w:abstractNumId w:val="34"/>
  </w:num>
  <w:num w:numId="34">
    <w:abstractNumId w:val="26"/>
  </w:num>
  <w:num w:numId="35">
    <w:abstractNumId w:val="15"/>
  </w:num>
  <w:num w:numId="36">
    <w:abstractNumId w:val="3"/>
  </w:num>
  <w:num w:numId="37">
    <w:abstractNumId w:val="39"/>
  </w:num>
  <w:num w:numId="38">
    <w:abstractNumId w:val="13"/>
  </w:num>
  <w:num w:numId="39">
    <w:abstractNumId w:val="20"/>
  </w:num>
  <w:num w:numId="40">
    <w:abstractNumId w:val="25"/>
  </w:num>
  <w:num w:numId="41">
    <w:abstractNumId w:val="30"/>
  </w:num>
  <w:num w:numId="42">
    <w:abstractNumId w:val="9"/>
  </w:num>
  <w:num w:numId="43">
    <w:abstractNumId w:val="8"/>
  </w:num>
  <w:num w:numId="44">
    <w:abstractNumId w:val="41"/>
  </w:num>
  <w:num w:numId="45">
    <w:abstractNumId w:val="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10A7A"/>
    <w:rsid w:val="000254B8"/>
    <w:rsid w:val="00026199"/>
    <w:rsid w:val="0002684D"/>
    <w:rsid w:val="000538F8"/>
    <w:rsid w:val="000C4F36"/>
    <w:rsid w:val="000E72BE"/>
    <w:rsid w:val="000F1029"/>
    <w:rsid w:val="000F4071"/>
    <w:rsid w:val="00103DBC"/>
    <w:rsid w:val="00116E98"/>
    <w:rsid w:val="00137177"/>
    <w:rsid w:val="00142D5E"/>
    <w:rsid w:val="0014513D"/>
    <w:rsid w:val="00196806"/>
    <w:rsid w:val="001A350E"/>
    <w:rsid w:val="001C572F"/>
    <w:rsid w:val="001D585E"/>
    <w:rsid w:val="001E041A"/>
    <w:rsid w:val="001F22E8"/>
    <w:rsid w:val="00216608"/>
    <w:rsid w:val="00233DEC"/>
    <w:rsid w:val="00294356"/>
    <w:rsid w:val="002948E5"/>
    <w:rsid w:val="002B5171"/>
    <w:rsid w:val="002E53BC"/>
    <w:rsid w:val="002F4E20"/>
    <w:rsid w:val="00321D82"/>
    <w:rsid w:val="0032572C"/>
    <w:rsid w:val="003319F8"/>
    <w:rsid w:val="0034151E"/>
    <w:rsid w:val="00345562"/>
    <w:rsid w:val="00354FF8"/>
    <w:rsid w:val="0035555A"/>
    <w:rsid w:val="00381DDA"/>
    <w:rsid w:val="0038702C"/>
    <w:rsid w:val="00394FC1"/>
    <w:rsid w:val="003C7C6B"/>
    <w:rsid w:val="003D3B5C"/>
    <w:rsid w:val="003D62CE"/>
    <w:rsid w:val="003F1C1E"/>
    <w:rsid w:val="00417695"/>
    <w:rsid w:val="004223F0"/>
    <w:rsid w:val="004366D0"/>
    <w:rsid w:val="00486D45"/>
    <w:rsid w:val="004A69D6"/>
    <w:rsid w:val="004A7E07"/>
    <w:rsid w:val="004C224A"/>
    <w:rsid w:val="004C73FB"/>
    <w:rsid w:val="00506287"/>
    <w:rsid w:val="00516B40"/>
    <w:rsid w:val="00523508"/>
    <w:rsid w:val="0058108A"/>
    <w:rsid w:val="00585BED"/>
    <w:rsid w:val="005B1011"/>
    <w:rsid w:val="005B563A"/>
    <w:rsid w:val="005D0B8C"/>
    <w:rsid w:val="005F5D83"/>
    <w:rsid w:val="005F738A"/>
    <w:rsid w:val="00610DE4"/>
    <w:rsid w:val="00651031"/>
    <w:rsid w:val="006A2AF7"/>
    <w:rsid w:val="006D5203"/>
    <w:rsid w:val="006E7A8B"/>
    <w:rsid w:val="006F766A"/>
    <w:rsid w:val="007040A4"/>
    <w:rsid w:val="0071204D"/>
    <w:rsid w:val="007428B3"/>
    <w:rsid w:val="00752D72"/>
    <w:rsid w:val="007568D4"/>
    <w:rsid w:val="00774B2D"/>
    <w:rsid w:val="007771A5"/>
    <w:rsid w:val="007D5A9C"/>
    <w:rsid w:val="007D5C51"/>
    <w:rsid w:val="007E2587"/>
    <w:rsid w:val="007F104B"/>
    <w:rsid w:val="00812CE6"/>
    <w:rsid w:val="00836F58"/>
    <w:rsid w:val="00846DEB"/>
    <w:rsid w:val="00852A70"/>
    <w:rsid w:val="00892C1A"/>
    <w:rsid w:val="008B7B36"/>
    <w:rsid w:val="008F2D26"/>
    <w:rsid w:val="00904DB2"/>
    <w:rsid w:val="00934600"/>
    <w:rsid w:val="00942137"/>
    <w:rsid w:val="00942A1D"/>
    <w:rsid w:val="00964B55"/>
    <w:rsid w:val="00966C69"/>
    <w:rsid w:val="00976E4F"/>
    <w:rsid w:val="00992F9E"/>
    <w:rsid w:val="009A28D2"/>
    <w:rsid w:val="009B6AAE"/>
    <w:rsid w:val="009D37EA"/>
    <w:rsid w:val="00A11153"/>
    <w:rsid w:val="00A23FC2"/>
    <w:rsid w:val="00A4060C"/>
    <w:rsid w:val="00A44948"/>
    <w:rsid w:val="00A50DC3"/>
    <w:rsid w:val="00A72E20"/>
    <w:rsid w:val="00A947EF"/>
    <w:rsid w:val="00AA45BE"/>
    <w:rsid w:val="00AB4CBD"/>
    <w:rsid w:val="00AC07BB"/>
    <w:rsid w:val="00AC7C5A"/>
    <w:rsid w:val="00AD4277"/>
    <w:rsid w:val="00AF28B3"/>
    <w:rsid w:val="00AF4C4C"/>
    <w:rsid w:val="00B031C5"/>
    <w:rsid w:val="00B03A5A"/>
    <w:rsid w:val="00B164B3"/>
    <w:rsid w:val="00B17B9D"/>
    <w:rsid w:val="00B43601"/>
    <w:rsid w:val="00B617C4"/>
    <w:rsid w:val="00B648EF"/>
    <w:rsid w:val="00B72BF7"/>
    <w:rsid w:val="00B74471"/>
    <w:rsid w:val="00B87BFE"/>
    <w:rsid w:val="00B9066B"/>
    <w:rsid w:val="00BC5FB0"/>
    <w:rsid w:val="00BD4B87"/>
    <w:rsid w:val="00BD586B"/>
    <w:rsid w:val="00BE421D"/>
    <w:rsid w:val="00C230CB"/>
    <w:rsid w:val="00C260F7"/>
    <w:rsid w:val="00C53565"/>
    <w:rsid w:val="00C805A0"/>
    <w:rsid w:val="00CC7619"/>
    <w:rsid w:val="00CD5D3B"/>
    <w:rsid w:val="00CD77B9"/>
    <w:rsid w:val="00CF1A11"/>
    <w:rsid w:val="00D12E53"/>
    <w:rsid w:val="00D312E7"/>
    <w:rsid w:val="00D31E87"/>
    <w:rsid w:val="00D33500"/>
    <w:rsid w:val="00D4328A"/>
    <w:rsid w:val="00D62D08"/>
    <w:rsid w:val="00D636BE"/>
    <w:rsid w:val="00D7491C"/>
    <w:rsid w:val="00D75A73"/>
    <w:rsid w:val="00DC559A"/>
    <w:rsid w:val="00E2215E"/>
    <w:rsid w:val="00E432FE"/>
    <w:rsid w:val="00E52153"/>
    <w:rsid w:val="00E6266F"/>
    <w:rsid w:val="00E73250"/>
    <w:rsid w:val="00E940EB"/>
    <w:rsid w:val="00E96644"/>
    <w:rsid w:val="00E974FA"/>
    <w:rsid w:val="00EC124F"/>
    <w:rsid w:val="00EF2055"/>
    <w:rsid w:val="00F072D4"/>
    <w:rsid w:val="00F251C2"/>
    <w:rsid w:val="00F60406"/>
    <w:rsid w:val="00F81714"/>
    <w:rsid w:val="00FB53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87"/>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F251C2"/>
    <w:pPr>
      <w:tabs>
        <w:tab w:val="left" w:pos="660"/>
        <w:tab w:val="right" w:leader="dot" w:pos="8828"/>
      </w:tabs>
      <w:spacing w:after="100"/>
      <w:ind w:left="426" w:hanging="426"/>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D31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D31E8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nguno">
    <w:name w:val="Ninguno"/>
    <w:rsid w:val="0071204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EF11-4447-48B8-B13F-B09FAB41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1868</Words>
  <Characters>10276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2</cp:revision>
  <cp:lastPrinted>2018-08-17T00:44:00Z</cp:lastPrinted>
  <dcterms:created xsi:type="dcterms:W3CDTF">2018-10-26T00:18:00Z</dcterms:created>
  <dcterms:modified xsi:type="dcterms:W3CDTF">2018-10-26T00:18:00Z</dcterms:modified>
</cp:coreProperties>
</file>